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sz w:val="19"/>
        </w:rPr>
      </w:pPr>
    </w:p>
    <w:p>
      <w:pPr>
        <w:pStyle w:val="Title"/>
      </w:pPr>
      <w:r>
        <w:rPr>
          <w:color w:val="2E2E2E"/>
        </w:rPr>
        <w:t>DOF: 27/12/2020</w:t>
      </w:r>
    </w:p>
    <w:p>
      <w:pPr>
        <w:pStyle w:val="BodyText"/>
        <w:spacing w:before="4"/>
        <w:rPr>
          <w:b/>
          <w:sz w:val="27"/>
        </w:rPr>
      </w:pPr>
    </w:p>
    <w:p>
      <w:pPr>
        <w:pStyle w:val="Heading1"/>
        <w:spacing w:line="261" w:lineRule="auto" w:before="92" w:after="2"/>
        <w:ind w:left="112" w:right="44"/>
        <w:jc w:val="left"/>
        <w:rPr>
          <w:rFonts w:ascii="Times New Roman" w:hAnsi="Times New Roman"/>
        </w:rPr>
      </w:pPr>
      <w:r>
        <w:rPr>
          <w:rFonts w:ascii="Times New Roman" w:hAnsi="Times New Roman"/>
          <w:color w:val="2E2E2E"/>
        </w:rPr>
        <w:t>ACUERDO por el que se dan a conocer las preferencias arancelarias del Acuerdo Regional No. 7 de Cooperación e Intercambio de Bienes en las Áreas Cultural, Educacional y Científica.</w:t>
      </w:r>
    </w:p>
    <w:p>
      <w:pPr>
        <w:pStyle w:val="BodyText"/>
        <w:spacing w:line="30" w:lineRule="exact"/>
        <w:ind w:left="120"/>
        <w:rPr>
          <w:rFonts w:ascii="Times New Roman"/>
          <w:sz w:val="2"/>
        </w:rPr>
      </w:pPr>
      <w:r>
        <w:rPr>
          <w:rFonts w:ascii="Times New Roman"/>
          <w:position w:val="0"/>
          <w:sz w:val="2"/>
        </w:rPr>
        <w:pict>
          <v:group style="width:521.25pt;height:1.5pt;mso-position-horizontal-relative:char;mso-position-vertical-relative:line" coordorigin="0,0" coordsize="10425,30">
            <v:rect style="position:absolute;left:0;top:0;width:10425;height:30" filled="true" fillcolor="#000000" stroked="false">
              <v:fill type="solid"/>
            </v:rect>
          </v:group>
        </w:pict>
      </w:r>
      <w:r>
        <w:rPr>
          <w:rFonts w:ascii="Times New Roman"/>
          <w:position w:val="0"/>
          <w:sz w:val="2"/>
        </w:rPr>
      </w:r>
    </w:p>
    <w:p>
      <w:pPr>
        <w:pStyle w:val="BodyText"/>
        <w:spacing w:before="7"/>
        <w:rPr>
          <w:rFonts w:ascii="Times New Roman"/>
          <w:b/>
          <w:sz w:val="9"/>
        </w:rPr>
      </w:pPr>
      <w:r>
        <w:rPr/>
        <w:pict>
          <v:rect style="position:absolute;margin-left:49.999996pt;margin-top:7.499999pt;width:521.249959pt;height:.75pt;mso-position-horizontal-relative:page;mso-position-vertical-relative:paragraph;z-index:-15728128;mso-wrap-distance-left:0;mso-wrap-distance-right:0" filled="true" fillcolor="#000000" stroked="false">
            <v:fill type="solid"/>
            <w10:wrap type="topAndBottom"/>
          </v:rect>
        </w:pict>
      </w:r>
    </w:p>
    <w:p>
      <w:pPr>
        <w:spacing w:before="0"/>
        <w:ind w:left="112" w:right="0" w:firstLine="0"/>
        <w:jc w:val="left"/>
        <w:rPr>
          <w:b/>
          <w:sz w:val="18"/>
        </w:rPr>
      </w:pPr>
      <w:r>
        <w:rPr>
          <w:b/>
          <w:color w:val="2E2E2E"/>
          <w:sz w:val="18"/>
        </w:rPr>
        <w:t>Al margen un sello con el Escudo Nacional, que dice: Estados Unidos Mexicanos.- ECONOMÍA.- Secretaría de Economía.</w:t>
      </w:r>
    </w:p>
    <w:p>
      <w:pPr>
        <w:pStyle w:val="BodyText"/>
        <w:spacing w:line="242" w:lineRule="auto" w:before="108"/>
        <w:ind w:left="112" w:right="120" w:firstLine="287"/>
        <w:jc w:val="both"/>
      </w:pPr>
      <w:r>
        <w:rPr>
          <w:color w:val="2E2E2E"/>
        </w:rPr>
        <w:t>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pPr>
        <w:pStyle w:val="Heading1"/>
        <w:spacing w:before="108"/>
        <w:rPr>
          <w:rFonts w:ascii="Times New Roman"/>
        </w:rPr>
      </w:pPr>
      <w:r>
        <w:rPr>
          <w:rFonts w:ascii="Times New Roman"/>
          <w:color w:val="2E2E2E"/>
        </w:rPr>
        <w:t>CONSIDERANDO</w:t>
      </w:r>
    </w:p>
    <w:p>
      <w:pPr>
        <w:pStyle w:val="BodyText"/>
        <w:spacing w:line="242" w:lineRule="auto" w:before="108"/>
        <w:ind w:left="112" w:right="124" w:firstLine="287"/>
        <w:jc w:val="both"/>
      </w:pPr>
      <w:r>
        <w:rPr>
          <w:color w:val="2E2E2E"/>
        </w:rPr>
        <w:t>Que el 28 de diciembre de 1980, el Senado de la República aprobó el Tratado de Montevideo 1980 (Tratado), cuyo Decreto de promulgación se publicó en el Diario Oficial de la Federación el 31 de marzo de 1981, con objeto de dar continuidad al proceso de integración latinoamericano y establecer a largo plazo, en forma gradual y progresiva, un mercado común, para lo cual se instituyó la Asociación Latinoamericana de Integración (ALADI).</w:t>
      </w:r>
    </w:p>
    <w:p>
      <w:pPr>
        <w:pStyle w:val="BodyText"/>
        <w:spacing w:line="242" w:lineRule="auto" w:before="108"/>
        <w:ind w:left="112" w:right="120" w:firstLine="287"/>
        <w:jc w:val="both"/>
      </w:pPr>
      <w:r>
        <w:rPr>
          <w:color w:val="2E2E2E"/>
        </w:rPr>
        <w:t>Que en el marco del Tratado, el 27 de octubre de 1988, los Estados Unidos Mexicanos, la República Argentina, la República Federativa del Brasil, la República de Colombia, la República del Perú, la República Oriental del Uruguay y la República </w:t>
      </w:r>
      <w:r>
        <w:rPr>
          <w:color w:val="2E2E2E"/>
          <w:spacing w:val="-6"/>
        </w:rPr>
        <w:t>de </w:t>
      </w:r>
      <w:r>
        <w:rPr>
          <w:color w:val="2E2E2E"/>
        </w:rPr>
        <w:t>Venezuela suscribieron el Acuerdo de Alcance Parcial de Cooperación e Intercambio de Bienes en las Áreas Cultural, Educacional y Científica (Acuerdo).</w:t>
      </w:r>
    </w:p>
    <w:p>
      <w:pPr>
        <w:pStyle w:val="BodyText"/>
        <w:spacing w:line="242" w:lineRule="auto" w:before="109"/>
        <w:ind w:left="112" w:right="125" w:firstLine="287"/>
        <w:jc w:val="both"/>
      </w:pPr>
      <w:r>
        <w:rPr>
          <w:color w:val="2E2E2E"/>
        </w:rPr>
        <w:t>Que mediante Protocolos suscritos por las Repúblicas del Paraguay, de Cuba, del Ecuador, de Chile y del Estado </w:t>
      </w:r>
      <w:r>
        <w:rPr>
          <w:color w:val="2E2E2E"/>
          <w:spacing w:val="-2"/>
        </w:rPr>
        <w:t>Plurinacional </w:t>
      </w:r>
      <w:r>
        <w:rPr>
          <w:color w:val="2E2E2E"/>
        </w:rPr>
        <w:t>de Bolivia, de fechas 31 de agosto, 10 de septiembre, 5 y 22 de noviembre de 1990 y 27 de abril de 1992, respectivamente, se adhirieron al Acuerdo.</w:t>
      </w:r>
    </w:p>
    <w:p>
      <w:pPr>
        <w:pStyle w:val="BodyText"/>
        <w:spacing w:line="242" w:lineRule="auto" w:before="108"/>
        <w:ind w:left="112" w:right="122" w:firstLine="287"/>
        <w:jc w:val="both"/>
      </w:pPr>
      <w:r>
        <w:rPr>
          <w:color w:val="2E2E2E"/>
        </w:rPr>
        <w:t>Que el 5 de marzo de 1997, con motivo de la adhesión al Acuerdo de todos los países de la ALADI, se suscribió el Primer Protocolo Adicional al Acuerdo, en el cual se establece registrarlo como Acuerdo Regional de la ALADI, de conformidad con lo dispuesto en el Artículo 6 del Tratado.</w:t>
      </w:r>
    </w:p>
    <w:p>
      <w:pPr>
        <w:pStyle w:val="BodyText"/>
        <w:spacing w:line="242" w:lineRule="auto" w:before="93"/>
        <w:ind w:left="112" w:right="122" w:firstLine="287"/>
        <w:jc w:val="both"/>
      </w:pPr>
      <w:r>
        <w:rPr>
          <w:color w:val="2E2E2E"/>
        </w:rPr>
        <w:t>Que de conformidad con el único transitorio del Primer Protocolo Adicional, se formuló la consolidación concertada del Acuerdo, por lo que se registró como Acuerdo Regional No. 7 de Cooperación e Intercambio de Bienes en las Áreas Cultural, Educacional y Científica (Acuerdo Regional No. 7).</w:t>
      </w:r>
    </w:p>
    <w:p>
      <w:pPr>
        <w:pStyle w:val="BodyText"/>
        <w:spacing w:line="242" w:lineRule="auto" w:before="108"/>
        <w:ind w:left="112" w:right="132" w:firstLine="287"/>
        <w:jc w:val="both"/>
      </w:pPr>
      <w:r>
        <w:rPr>
          <w:color w:val="2E2E2E"/>
        </w:rPr>
        <w:t>Que mediante la Resolución 64 (XV) del Consejo de Ministros de Relaciones Exteriores de la ALADI, aprobada el 29 de abril de 2009, se decidió aceptar la adhesión de la República de Panamá al Tratado, con la categoría de país de desarrollo intermedio.</w:t>
      </w:r>
    </w:p>
    <w:p>
      <w:pPr>
        <w:pStyle w:val="BodyText"/>
        <w:spacing w:line="242" w:lineRule="auto" w:before="107"/>
        <w:ind w:left="112" w:right="132" w:firstLine="287"/>
        <w:jc w:val="both"/>
      </w:pPr>
      <w:r>
        <w:rPr>
          <w:color w:val="2E2E2E"/>
        </w:rPr>
        <w:t>Que el 2 de febrero de 2012, los países miembros de la ALADI y la República de Panamá suscribieron el Protocolo </w:t>
      </w:r>
      <w:r>
        <w:rPr>
          <w:color w:val="2E2E2E"/>
          <w:spacing w:val="-7"/>
        </w:rPr>
        <w:t>de </w:t>
      </w:r>
      <w:r>
        <w:rPr>
          <w:color w:val="2E2E2E"/>
        </w:rPr>
        <w:t>Adhesión de la República de Panamá al Acuerdo Regional No. 7, mediante el cual ese país asume los derechos y </w:t>
      </w:r>
      <w:r>
        <w:rPr>
          <w:color w:val="2E2E2E"/>
          <w:spacing w:val="-2"/>
        </w:rPr>
        <w:t>obligaciones </w:t>
      </w:r>
      <w:r>
        <w:rPr>
          <w:color w:val="2E2E2E"/>
        </w:rPr>
        <w:t>del Acuerdo, como país miembro de ALADI, a partir del 3 de marzo de</w:t>
      </w:r>
      <w:r>
        <w:rPr>
          <w:color w:val="2E2E2E"/>
          <w:spacing w:val="-2"/>
        </w:rPr>
        <w:t> </w:t>
      </w:r>
      <w:r>
        <w:rPr>
          <w:color w:val="2E2E2E"/>
        </w:rPr>
        <w:t>2012.</w:t>
      </w:r>
    </w:p>
    <w:p>
      <w:pPr>
        <w:pStyle w:val="BodyText"/>
        <w:spacing w:line="242" w:lineRule="auto" w:before="92"/>
        <w:ind w:left="112" w:right="130" w:firstLine="287"/>
        <w:jc w:val="both"/>
      </w:pPr>
      <w:r>
        <w:rPr>
          <w:color w:val="2E2E2E"/>
        </w:rPr>
        <w:t>Que el 27 de junio de 2014 la Organización Mundial de Aduanas adoptó la Sexta Enmienda al Sistema Armonizado de Designación y Codificación de Mercancías que incluye, entre otras, modificaciones a las notas legales, la eliminación de partidas o subpartidas que describen productos que han reportado escaso movimiento comercial, así como la creación o </w:t>
      </w:r>
      <w:r>
        <w:rPr>
          <w:color w:val="2E2E2E"/>
          <w:spacing w:val="-2"/>
        </w:rPr>
        <w:t>restructuración</w:t>
      </w:r>
      <w:r>
        <w:rPr>
          <w:color w:val="2E2E2E"/>
          <w:spacing w:val="46"/>
        </w:rPr>
        <w:t> </w:t>
      </w:r>
      <w:r>
        <w:rPr>
          <w:color w:val="2E2E2E"/>
        </w:rPr>
        <w:t>de otras para identificar productos nuevos en el comercio</w:t>
      </w:r>
      <w:r>
        <w:rPr>
          <w:color w:val="2E2E2E"/>
          <w:spacing w:val="-1"/>
        </w:rPr>
        <w:t> </w:t>
      </w:r>
      <w:r>
        <w:rPr>
          <w:color w:val="2E2E2E"/>
        </w:rPr>
        <w:t>mundial.</w:t>
      </w:r>
    </w:p>
    <w:p>
      <w:pPr>
        <w:pStyle w:val="BodyText"/>
        <w:spacing w:line="242" w:lineRule="auto" w:before="109"/>
        <w:ind w:left="112" w:right="124" w:firstLine="287"/>
        <w:jc w:val="both"/>
      </w:pPr>
      <w:r>
        <w:rPr>
          <w:color w:val="2E2E2E"/>
        </w:rPr>
        <w:t>Que el 1 de julio de 2020 se publicó en el Diario Oficial de la Federación el Decreto por el que se expide la Ley de los Impuestos Generales de Importación y de Exportación, y se reforman y adicionan diversas disposiciones de la Ley Aduanera, en virtud del cual, en las disposiciones referentes a la Ley de los Impuestos Generales de Importación y de Exportación se establece la Tarifa con los aranceles aplicables a la importación y exportación de mercancías en el territorio nacional y se adoptan las modificaciones de la Sexta Enmienda antes señalada.</w:t>
      </w:r>
    </w:p>
    <w:p>
      <w:pPr>
        <w:pStyle w:val="BodyText"/>
        <w:spacing w:line="242" w:lineRule="auto" w:before="110"/>
        <w:ind w:left="112" w:right="121" w:firstLine="287"/>
        <w:jc w:val="both"/>
      </w:pPr>
      <w:r>
        <w:rPr>
          <w:color w:val="2E2E2E"/>
        </w:rPr>
        <w:t>Que de conformidad con las disposiciones transitorias del referido Decreto, los artículos 1o. y 2o., fracciones I y II, reglas 1ª, 2ª y 4ª a 9ª de la Ley de los Impuestos Generales de Importación y de Exportación entrarán en vigor a los 180 días naturales siguientes al de su publicación en el Diario Oficial de la Federación, es decir, a partir del 28 de diciembre de 2020.</w:t>
      </w:r>
    </w:p>
    <w:p>
      <w:pPr>
        <w:pStyle w:val="BodyText"/>
        <w:spacing w:line="242" w:lineRule="auto" w:before="108"/>
        <w:ind w:left="112" w:right="131" w:firstLine="287"/>
        <w:jc w:val="both"/>
      </w:pPr>
      <w:r>
        <w:rPr>
          <w:color w:val="2E2E2E"/>
        </w:rPr>
        <w:t>Que en razón de lo anterior, y siendo necesario dar a conocer a los operadores y autoridades aduaneras las preferencias arancelarias acordadas en el Acuerdo Regional No. 7, se expide el siguiente:</w:t>
      </w:r>
    </w:p>
    <w:p>
      <w:pPr>
        <w:pStyle w:val="BodyText"/>
        <w:rPr>
          <w:sz w:val="20"/>
        </w:rPr>
      </w:pPr>
    </w:p>
    <w:p>
      <w:pPr>
        <w:pStyle w:val="BodyText"/>
        <w:spacing w:before="8"/>
        <w:rPr>
          <w:sz w:val="16"/>
        </w:rPr>
      </w:pPr>
    </w:p>
    <w:p>
      <w:pPr>
        <w:pStyle w:val="Heading1"/>
        <w:spacing w:line="261" w:lineRule="auto" w:before="1"/>
        <w:rPr>
          <w:rFonts w:ascii="Times New Roman" w:hAnsi="Times New Roman"/>
        </w:rPr>
      </w:pPr>
      <w:r>
        <w:rPr>
          <w:rFonts w:ascii="Times New Roman" w:hAnsi="Times New Roman"/>
          <w:color w:val="2E2E2E"/>
        </w:rPr>
        <w:t>ACUERDO POR EL QUE SE DAN A CONOCER LAS PREFERENCIAS ARANCELARIAS DEL ACUERDO REGIONAL No. 7 DE COOPERACIÓN E INTERCAMBIO DE BIENES EN LAS ÁREAS CULTURAL,</w:t>
      </w:r>
    </w:p>
    <w:p>
      <w:pPr>
        <w:spacing w:line="206" w:lineRule="exact" w:before="0"/>
        <w:ind w:left="1024" w:right="1031" w:firstLine="0"/>
        <w:jc w:val="center"/>
        <w:rPr>
          <w:rFonts w:ascii="Times New Roman" w:hAnsi="Times New Roman"/>
          <w:b/>
          <w:sz w:val="18"/>
        </w:rPr>
      </w:pPr>
      <w:r>
        <w:rPr>
          <w:rFonts w:ascii="Times New Roman" w:hAnsi="Times New Roman"/>
          <w:b/>
          <w:color w:val="2E2E2E"/>
          <w:sz w:val="18"/>
        </w:rPr>
        <w:t>EDUCACIONAL Y CIENTÍFICA</w:t>
      </w:r>
    </w:p>
    <w:p>
      <w:pPr>
        <w:pStyle w:val="BodyText"/>
        <w:spacing w:line="242" w:lineRule="auto" w:before="122"/>
        <w:ind w:left="112" w:right="120" w:firstLine="287"/>
        <w:jc w:val="both"/>
      </w:pPr>
      <w:r>
        <w:rPr>
          <w:b/>
          <w:color w:val="2E2E2E"/>
        </w:rPr>
        <w:t>Primero.- </w:t>
      </w:r>
      <w:r>
        <w:rPr>
          <w:color w:val="2E2E2E"/>
        </w:rPr>
        <w:t>Conforme a lo dispuesto en el Acuerdo Regional No. 7 de Cooperación e Intercambio de Bienes en las Áreas Cultural, Educacional y Científica, la importación de las mercancías originarias y procedentes de cada uno de los  países miembros de la Asociación Latinoamericana de Integración (ALADI), comprendidas en las fracciones arancelarias en la tabla de este punto, estará exenta del pago de impuestos a la importación que prevé la </w:t>
      </w:r>
      <w:r>
        <w:rPr>
          <w:color w:val="2E2E2E"/>
          <w:spacing w:val="-4"/>
        </w:rPr>
        <w:t>Tarifa </w:t>
      </w:r>
      <w:r>
        <w:rPr>
          <w:color w:val="2E2E2E"/>
        </w:rPr>
        <w:t>de la Ley de los Impuestos Generales de Importación y de Exportación.</w:t>
      </w:r>
    </w:p>
    <w:p>
      <w:pPr>
        <w:pStyle w:val="Heading1"/>
        <w:spacing w:line="242" w:lineRule="auto" w:before="94"/>
        <w:ind w:left="1284" w:right="1049" w:hanging="243"/>
        <w:jc w:val="both"/>
      </w:pPr>
      <w:r>
        <w:rPr>
          <w:color w:val="2E2E2E"/>
          <w:spacing w:val="-3"/>
        </w:rPr>
        <w:t>Tabla </w:t>
      </w:r>
      <w:r>
        <w:rPr>
          <w:color w:val="2E2E2E"/>
        </w:rPr>
        <w:t>de las mercancías que están exentas del pago de aranceles de importación que prevé la </w:t>
      </w:r>
      <w:r>
        <w:rPr>
          <w:color w:val="2E2E2E"/>
          <w:spacing w:val="-6"/>
        </w:rPr>
        <w:t>Tarifa </w:t>
      </w:r>
      <w:r>
        <w:rPr>
          <w:color w:val="2E2E2E"/>
        </w:rPr>
        <w:t>de la Ley de los Impuestos Generales de Importación y de Exportación, de conformidad con lo</w:t>
      </w:r>
    </w:p>
    <w:p>
      <w:pPr>
        <w:spacing w:after="0" w:line="242" w:lineRule="auto"/>
        <w:jc w:val="both"/>
        <w:sectPr>
          <w:headerReference w:type="default" r:id="rId5"/>
          <w:footerReference w:type="default" r:id="rId6"/>
          <w:type w:val="continuous"/>
          <w:pgSz w:w="12240" w:h="15840"/>
          <w:pgMar w:header="274" w:footer="280" w:top="480" w:bottom="480" w:left="880" w:right="700"/>
          <w:pgNumType w:start="1"/>
        </w:sectPr>
      </w:pPr>
    </w:p>
    <w:p>
      <w:pPr>
        <w:spacing w:line="242" w:lineRule="auto" w:before="84"/>
        <w:ind w:left="4289" w:right="909" w:hanging="3371"/>
        <w:jc w:val="left"/>
        <w:rPr>
          <w:b/>
          <w:sz w:val="18"/>
        </w:rPr>
      </w:pPr>
      <w:r>
        <w:rPr>
          <w:b/>
          <w:color w:val="2E2E2E"/>
          <w:sz w:val="18"/>
        </w:rPr>
        <w:t>dispuesto en el Acuerdo Regional No. 7 de Cooperación e Intercambio de Bienes en las Áreas Cultural, Educacional y Científica</w:t>
      </w:r>
    </w:p>
    <w:p>
      <w:pPr>
        <w:pStyle w:val="BodyText"/>
        <w:spacing w:before="7"/>
        <w:rPr>
          <w:b/>
          <w:sz w:val="9"/>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80"/>
        <w:gridCol w:w="2246"/>
        <w:gridCol w:w="1998"/>
        <w:gridCol w:w="3027"/>
        <w:gridCol w:w="242"/>
      </w:tblGrid>
      <w:tr>
        <w:trPr>
          <w:trHeight w:val="314" w:hRule="atLeast"/>
        </w:trPr>
        <w:tc>
          <w:tcPr>
            <w:tcW w:w="1680" w:type="dxa"/>
          </w:tcPr>
          <w:p>
            <w:pPr>
              <w:pStyle w:val="TableParagraph"/>
              <w:rPr>
                <w:b/>
                <w:sz w:val="18"/>
              </w:rPr>
            </w:pPr>
            <w:r>
              <w:rPr>
                <w:b/>
                <w:sz w:val="18"/>
              </w:rPr>
              <w:t>Fracción</w:t>
            </w:r>
          </w:p>
        </w:tc>
        <w:tc>
          <w:tcPr>
            <w:tcW w:w="4244" w:type="dxa"/>
            <w:gridSpan w:val="2"/>
          </w:tcPr>
          <w:p>
            <w:pPr>
              <w:pStyle w:val="TableParagraph"/>
              <w:rPr>
                <w:b/>
                <w:sz w:val="18"/>
              </w:rPr>
            </w:pPr>
            <w:r>
              <w:rPr>
                <w:b/>
                <w:sz w:val="18"/>
              </w:rPr>
              <w:t>Descripción</w:t>
            </w:r>
          </w:p>
        </w:tc>
        <w:tc>
          <w:tcPr>
            <w:tcW w:w="3269" w:type="dxa"/>
            <w:gridSpan w:val="2"/>
          </w:tcPr>
          <w:p>
            <w:pPr>
              <w:pStyle w:val="TableParagraph"/>
              <w:ind w:left="84"/>
              <w:rPr>
                <w:b/>
                <w:sz w:val="18"/>
              </w:rPr>
            </w:pPr>
            <w:r>
              <w:rPr>
                <w:b/>
                <w:sz w:val="18"/>
              </w:rPr>
              <w:t>Observación</w:t>
            </w:r>
          </w:p>
        </w:tc>
      </w:tr>
      <w:tr>
        <w:trPr>
          <w:trHeight w:val="944" w:hRule="atLeast"/>
        </w:trPr>
        <w:tc>
          <w:tcPr>
            <w:tcW w:w="1680" w:type="dxa"/>
          </w:tcPr>
          <w:p>
            <w:pPr>
              <w:pStyle w:val="TableParagraph"/>
              <w:rPr>
                <w:sz w:val="18"/>
              </w:rPr>
            </w:pPr>
            <w:r>
              <w:rPr>
                <w:sz w:val="18"/>
              </w:rPr>
              <w:t>3705.00.01</w:t>
            </w:r>
          </w:p>
        </w:tc>
        <w:tc>
          <w:tcPr>
            <w:tcW w:w="4244" w:type="dxa"/>
            <w:gridSpan w:val="2"/>
          </w:tcPr>
          <w:p>
            <w:pPr>
              <w:pStyle w:val="TableParagraph"/>
              <w:spacing w:line="242" w:lineRule="auto"/>
              <w:ind w:right="61"/>
              <w:jc w:val="both"/>
              <w:rPr>
                <w:sz w:val="18"/>
              </w:rPr>
            </w:pPr>
            <w:r>
              <w:rPr>
                <w:sz w:val="18"/>
              </w:rPr>
              <w:t>Placas y películas ortocromáticas reveladas, para la impresión de periódicos, libros, fascículos, revistas, material didáctico o colecciones.</w:t>
            </w:r>
          </w:p>
        </w:tc>
        <w:tc>
          <w:tcPr>
            <w:tcW w:w="3269" w:type="dxa"/>
            <w:gridSpan w:val="2"/>
          </w:tcPr>
          <w:p>
            <w:pPr>
              <w:pStyle w:val="TableParagraph"/>
              <w:spacing w:line="242" w:lineRule="auto"/>
              <w:ind w:left="84" w:right="68"/>
              <w:rPr>
                <w:sz w:val="18"/>
              </w:rPr>
            </w:pPr>
            <w:r>
              <w:rPr>
                <w:sz w:val="18"/>
              </w:rPr>
              <w:t>Películas fotográficas procesadas, con contenido editorial (fotolitos)</w:t>
            </w:r>
          </w:p>
        </w:tc>
      </w:tr>
      <w:tr>
        <w:trPr>
          <w:trHeight w:val="734" w:hRule="atLeast"/>
        </w:trPr>
        <w:tc>
          <w:tcPr>
            <w:tcW w:w="1680" w:type="dxa"/>
          </w:tcPr>
          <w:p>
            <w:pPr>
              <w:pStyle w:val="TableParagraph"/>
              <w:rPr>
                <w:sz w:val="18"/>
              </w:rPr>
            </w:pPr>
            <w:r>
              <w:rPr>
                <w:sz w:val="18"/>
              </w:rPr>
              <w:t>3705.00.04</w:t>
            </w:r>
          </w:p>
        </w:tc>
        <w:tc>
          <w:tcPr>
            <w:tcW w:w="2246" w:type="dxa"/>
            <w:tcBorders>
              <w:right w:val="nil"/>
            </w:tcBorders>
          </w:tcPr>
          <w:p>
            <w:pPr>
              <w:pStyle w:val="TableParagraph"/>
              <w:tabs>
                <w:tab w:pos="715" w:val="left" w:leader="none"/>
                <w:tab w:pos="1106" w:val="left" w:leader="none"/>
                <w:tab w:pos="1418" w:val="left" w:leader="none"/>
                <w:tab w:pos="1912" w:val="left" w:leader="none"/>
              </w:tabs>
              <w:spacing w:line="242" w:lineRule="auto"/>
              <w:ind w:right="89"/>
              <w:rPr>
                <w:sz w:val="18"/>
              </w:rPr>
            </w:pPr>
            <w:r>
              <w:rPr>
                <w:sz w:val="18"/>
              </w:rPr>
              <w:t>Para</w:t>
              <w:tab/>
              <w:t>la</w:t>
              <w:tab/>
            </w:r>
            <w:r>
              <w:rPr>
                <w:spacing w:val="-2"/>
                <w:sz w:val="18"/>
              </w:rPr>
              <w:t>reproducción </w:t>
            </w:r>
            <w:r>
              <w:rPr>
                <w:sz w:val="18"/>
              </w:rPr>
              <w:t>comprendido</w:t>
              <w:tab/>
              <w:t>en</w:t>
              <w:tab/>
              <w:t>la 3705.00.01.</w:t>
            </w:r>
          </w:p>
        </w:tc>
        <w:tc>
          <w:tcPr>
            <w:tcW w:w="1998" w:type="dxa"/>
            <w:tcBorders>
              <w:left w:val="nil"/>
            </w:tcBorders>
          </w:tcPr>
          <w:p>
            <w:pPr>
              <w:pStyle w:val="TableParagraph"/>
              <w:tabs>
                <w:tab w:pos="897" w:val="left" w:leader="none"/>
                <w:tab w:pos="1031" w:val="left" w:leader="none"/>
                <w:tab w:pos="1778" w:val="left" w:leader="none"/>
              </w:tabs>
              <w:spacing w:line="242" w:lineRule="auto"/>
              <w:ind w:left="107" w:right="66" w:firstLine="51"/>
              <w:rPr>
                <w:sz w:val="18"/>
              </w:rPr>
            </w:pPr>
            <w:r>
              <w:rPr>
                <w:sz w:val="18"/>
              </w:rPr>
              <w:t>offset,</w:t>
              <w:tab/>
              <w:t>excepto</w:t>
              <w:tab/>
            </w:r>
            <w:r>
              <w:rPr>
                <w:spacing w:val="-7"/>
                <w:sz w:val="18"/>
              </w:rPr>
              <w:t>lo </w:t>
            </w:r>
            <w:r>
              <w:rPr>
                <w:sz w:val="18"/>
              </w:rPr>
              <w:t>fracción</w:t>
              <w:tab/>
              <w:tab/>
            </w:r>
            <w:r>
              <w:rPr>
                <w:spacing w:val="-1"/>
                <w:sz w:val="18"/>
              </w:rPr>
              <w:t>arancelaria</w:t>
            </w:r>
          </w:p>
        </w:tc>
        <w:tc>
          <w:tcPr>
            <w:tcW w:w="3269" w:type="dxa"/>
            <w:gridSpan w:val="2"/>
          </w:tcPr>
          <w:p>
            <w:pPr>
              <w:pStyle w:val="TableParagraph"/>
              <w:spacing w:line="242" w:lineRule="auto"/>
              <w:ind w:left="84" w:right="68"/>
              <w:rPr>
                <w:sz w:val="18"/>
              </w:rPr>
            </w:pPr>
            <w:r>
              <w:rPr>
                <w:sz w:val="18"/>
              </w:rPr>
              <w:t>Películas fotográficas procesadas, con contenido editorial (fotolitos)</w:t>
            </w:r>
          </w:p>
        </w:tc>
      </w:tr>
      <w:tr>
        <w:trPr>
          <w:trHeight w:val="524" w:hRule="atLeast"/>
        </w:trPr>
        <w:tc>
          <w:tcPr>
            <w:tcW w:w="1680" w:type="dxa"/>
          </w:tcPr>
          <w:p>
            <w:pPr>
              <w:pStyle w:val="TableParagraph"/>
              <w:rPr>
                <w:sz w:val="18"/>
              </w:rPr>
            </w:pPr>
            <w:r>
              <w:rPr>
                <w:sz w:val="18"/>
              </w:rPr>
              <w:t>3706.10.01</w:t>
            </w:r>
          </w:p>
        </w:tc>
        <w:tc>
          <w:tcPr>
            <w:tcW w:w="4244" w:type="dxa"/>
            <w:gridSpan w:val="2"/>
          </w:tcPr>
          <w:p>
            <w:pPr>
              <w:pStyle w:val="TableParagraph"/>
              <w:rPr>
                <w:sz w:val="18"/>
              </w:rPr>
            </w:pPr>
            <w:r>
              <w:rPr>
                <w:sz w:val="18"/>
              </w:rPr>
              <w:t>Positivas.</w:t>
            </w:r>
          </w:p>
        </w:tc>
        <w:tc>
          <w:tcPr>
            <w:tcW w:w="3027" w:type="dxa"/>
            <w:tcBorders>
              <w:right w:val="nil"/>
            </w:tcBorders>
          </w:tcPr>
          <w:p>
            <w:pPr>
              <w:pStyle w:val="TableParagraph"/>
              <w:tabs>
                <w:tab w:pos="1792" w:val="left" w:leader="none"/>
              </w:tabs>
              <w:spacing w:line="242" w:lineRule="auto"/>
              <w:ind w:left="84" w:right="61"/>
              <w:rPr>
                <w:sz w:val="18"/>
              </w:rPr>
            </w:pPr>
            <w:r>
              <w:rPr>
                <w:sz w:val="18"/>
              </w:rPr>
              <w:t>Exclusivamente</w:t>
              <w:tab/>
              <w:t>educativas científicas, sin contenido</w:t>
            </w:r>
            <w:r>
              <w:rPr>
                <w:spacing w:val="6"/>
                <w:sz w:val="18"/>
              </w:rPr>
              <w:t> </w:t>
            </w:r>
            <w:r>
              <w:rPr>
                <w:spacing w:val="-2"/>
                <w:sz w:val="18"/>
              </w:rPr>
              <w:t>publicitario</w:t>
            </w:r>
          </w:p>
        </w:tc>
        <w:tc>
          <w:tcPr>
            <w:tcW w:w="242" w:type="dxa"/>
            <w:tcBorders>
              <w:left w:val="nil"/>
            </w:tcBorders>
          </w:tcPr>
          <w:p>
            <w:pPr>
              <w:pStyle w:val="TableParagraph"/>
              <w:ind w:left="18"/>
              <w:jc w:val="center"/>
              <w:rPr>
                <w:sz w:val="18"/>
              </w:rPr>
            </w:pPr>
            <w:r>
              <w:rPr>
                <w:sz w:val="18"/>
              </w:rPr>
              <w:t>y</w:t>
            </w:r>
          </w:p>
        </w:tc>
      </w:tr>
      <w:tr>
        <w:trPr>
          <w:trHeight w:val="524" w:hRule="atLeast"/>
        </w:trPr>
        <w:tc>
          <w:tcPr>
            <w:tcW w:w="1680" w:type="dxa"/>
          </w:tcPr>
          <w:p>
            <w:pPr>
              <w:pStyle w:val="TableParagraph"/>
              <w:rPr>
                <w:sz w:val="18"/>
              </w:rPr>
            </w:pPr>
            <w:r>
              <w:rPr>
                <w:sz w:val="18"/>
              </w:rPr>
              <w:t>3706.90.01</w:t>
            </w:r>
          </w:p>
        </w:tc>
        <w:tc>
          <w:tcPr>
            <w:tcW w:w="4244" w:type="dxa"/>
            <w:gridSpan w:val="2"/>
          </w:tcPr>
          <w:p>
            <w:pPr>
              <w:pStyle w:val="TableParagraph"/>
              <w:tabs>
                <w:tab w:pos="1074" w:val="left" w:leader="none"/>
                <w:tab w:pos="2694" w:val="left" w:leader="none"/>
                <w:tab w:pos="3865" w:val="left" w:leader="none"/>
              </w:tabs>
              <w:spacing w:line="242" w:lineRule="auto"/>
              <w:ind w:right="61"/>
              <w:rPr>
                <w:sz w:val="18"/>
              </w:rPr>
            </w:pPr>
            <w:r>
              <w:rPr>
                <w:sz w:val="18"/>
              </w:rPr>
              <w:t>Películas</w:t>
              <w:tab/>
              <w:t>cinematográficas</w:t>
              <w:tab/>
              <w:t>educativas,</w:t>
              <w:tab/>
            </w:r>
            <w:r>
              <w:rPr>
                <w:spacing w:val="-6"/>
                <w:sz w:val="18"/>
              </w:rPr>
              <w:t>aun </w:t>
            </w:r>
            <w:r>
              <w:rPr>
                <w:sz w:val="18"/>
              </w:rPr>
              <w:t>cuando tengan impresión directa de sonido.</w:t>
            </w:r>
          </w:p>
        </w:tc>
        <w:tc>
          <w:tcPr>
            <w:tcW w:w="3269" w:type="dxa"/>
            <w:gridSpan w:val="2"/>
          </w:tcPr>
          <w:p>
            <w:pPr>
              <w:pStyle w:val="TableParagraph"/>
              <w:ind w:left="84"/>
              <w:rPr>
                <w:sz w:val="18"/>
              </w:rPr>
            </w:pPr>
            <w:r>
              <w:rPr>
                <w:sz w:val="18"/>
              </w:rPr>
              <w:t>Sin contenido publicitario</w:t>
            </w:r>
          </w:p>
        </w:tc>
      </w:tr>
      <w:tr>
        <w:trPr>
          <w:trHeight w:val="524" w:hRule="atLeast"/>
        </w:trPr>
        <w:tc>
          <w:tcPr>
            <w:tcW w:w="1680" w:type="dxa"/>
          </w:tcPr>
          <w:p>
            <w:pPr>
              <w:pStyle w:val="TableParagraph"/>
              <w:rPr>
                <w:sz w:val="18"/>
              </w:rPr>
            </w:pPr>
            <w:r>
              <w:rPr>
                <w:sz w:val="18"/>
              </w:rPr>
              <w:t>3706.90.99</w:t>
            </w:r>
          </w:p>
        </w:tc>
        <w:tc>
          <w:tcPr>
            <w:tcW w:w="4244" w:type="dxa"/>
            <w:gridSpan w:val="2"/>
          </w:tcPr>
          <w:p>
            <w:pPr>
              <w:pStyle w:val="TableParagraph"/>
              <w:rPr>
                <w:sz w:val="18"/>
              </w:rPr>
            </w:pPr>
            <w:r>
              <w:rPr>
                <w:sz w:val="18"/>
              </w:rPr>
              <w:t>Las demás.</w:t>
            </w:r>
          </w:p>
        </w:tc>
        <w:tc>
          <w:tcPr>
            <w:tcW w:w="3027" w:type="dxa"/>
            <w:tcBorders>
              <w:right w:val="nil"/>
            </w:tcBorders>
          </w:tcPr>
          <w:p>
            <w:pPr>
              <w:pStyle w:val="TableParagraph"/>
              <w:tabs>
                <w:tab w:pos="1792" w:val="left" w:leader="none"/>
              </w:tabs>
              <w:spacing w:line="242" w:lineRule="auto"/>
              <w:ind w:left="84" w:right="61"/>
              <w:rPr>
                <w:sz w:val="18"/>
              </w:rPr>
            </w:pPr>
            <w:r>
              <w:rPr>
                <w:sz w:val="18"/>
              </w:rPr>
              <w:t>Exclusivamente</w:t>
              <w:tab/>
              <w:t>educativas científicas, sin contenido</w:t>
            </w:r>
            <w:r>
              <w:rPr>
                <w:spacing w:val="6"/>
                <w:sz w:val="18"/>
              </w:rPr>
              <w:t> </w:t>
            </w:r>
            <w:r>
              <w:rPr>
                <w:spacing w:val="-2"/>
                <w:sz w:val="18"/>
              </w:rPr>
              <w:t>publicitario</w:t>
            </w:r>
          </w:p>
        </w:tc>
        <w:tc>
          <w:tcPr>
            <w:tcW w:w="242" w:type="dxa"/>
            <w:tcBorders>
              <w:left w:val="nil"/>
            </w:tcBorders>
          </w:tcPr>
          <w:p>
            <w:pPr>
              <w:pStyle w:val="TableParagraph"/>
              <w:ind w:left="18"/>
              <w:jc w:val="center"/>
              <w:rPr>
                <w:sz w:val="18"/>
              </w:rPr>
            </w:pPr>
            <w:r>
              <w:rPr>
                <w:sz w:val="18"/>
              </w:rPr>
              <w:t>y</w:t>
            </w:r>
          </w:p>
        </w:tc>
      </w:tr>
      <w:tr>
        <w:trPr>
          <w:trHeight w:val="734" w:hRule="atLeast"/>
        </w:trPr>
        <w:tc>
          <w:tcPr>
            <w:tcW w:w="1680" w:type="dxa"/>
          </w:tcPr>
          <w:p>
            <w:pPr>
              <w:pStyle w:val="TableParagraph"/>
              <w:rPr>
                <w:sz w:val="18"/>
              </w:rPr>
            </w:pPr>
            <w:r>
              <w:rPr>
                <w:sz w:val="18"/>
              </w:rPr>
              <w:t>4901.10.01</w:t>
            </w:r>
          </w:p>
        </w:tc>
        <w:tc>
          <w:tcPr>
            <w:tcW w:w="4244" w:type="dxa"/>
            <w:gridSpan w:val="2"/>
          </w:tcPr>
          <w:p>
            <w:pPr>
              <w:pStyle w:val="TableParagraph"/>
              <w:spacing w:line="242" w:lineRule="auto"/>
              <w:ind w:right="61"/>
              <w:jc w:val="both"/>
              <w:rPr>
                <w:sz w:val="18"/>
              </w:rPr>
            </w:pPr>
            <w:r>
              <w:rPr>
                <w:sz w:val="18"/>
              </w:rPr>
              <w:t>Obras de la literatura universal y libros técnicos, científicos o de arte, incluso los de carácter biográfico.</w:t>
            </w:r>
          </w:p>
        </w:tc>
        <w:tc>
          <w:tcPr>
            <w:tcW w:w="3269" w:type="dxa"/>
            <w:gridSpan w:val="2"/>
          </w:tcPr>
          <w:p>
            <w:pPr>
              <w:pStyle w:val="TableParagraph"/>
              <w:ind w:left="84"/>
              <w:rPr>
                <w:sz w:val="18"/>
              </w:rPr>
            </w:pPr>
            <w:r>
              <w:rPr>
                <w:sz w:val="18"/>
              </w:rPr>
              <w:t>Libros</w:t>
            </w:r>
          </w:p>
        </w:tc>
      </w:tr>
      <w:tr>
        <w:trPr>
          <w:trHeight w:val="734" w:hRule="atLeast"/>
        </w:trPr>
        <w:tc>
          <w:tcPr>
            <w:tcW w:w="1680" w:type="dxa"/>
          </w:tcPr>
          <w:p>
            <w:pPr>
              <w:pStyle w:val="TableParagraph"/>
              <w:spacing w:before="0"/>
              <w:ind w:left="0"/>
              <w:rPr>
                <w:rFonts w:ascii="Times New Roman"/>
                <w:sz w:val="16"/>
              </w:rPr>
            </w:pPr>
          </w:p>
        </w:tc>
        <w:tc>
          <w:tcPr>
            <w:tcW w:w="4244" w:type="dxa"/>
            <w:gridSpan w:val="2"/>
          </w:tcPr>
          <w:p>
            <w:pPr>
              <w:pStyle w:val="TableParagraph"/>
              <w:spacing w:before="0"/>
              <w:ind w:left="0"/>
              <w:rPr>
                <w:rFonts w:ascii="Times New Roman"/>
                <w:sz w:val="16"/>
              </w:rPr>
            </w:pPr>
          </w:p>
        </w:tc>
        <w:tc>
          <w:tcPr>
            <w:tcW w:w="3269" w:type="dxa"/>
            <w:gridSpan w:val="2"/>
          </w:tcPr>
          <w:p>
            <w:pPr>
              <w:pStyle w:val="TableParagraph"/>
              <w:spacing w:line="242" w:lineRule="auto"/>
              <w:ind w:left="84" w:right="60"/>
              <w:jc w:val="both"/>
              <w:rPr>
                <w:sz w:val="18"/>
              </w:rPr>
            </w:pPr>
            <w:r>
              <w:rPr>
                <w:sz w:val="18"/>
              </w:rPr>
              <w:t>Folletos e impresos similares con texto de contenido científico o literario, sin menciones publicitarias</w:t>
            </w:r>
          </w:p>
        </w:tc>
      </w:tr>
      <w:tr>
        <w:trPr>
          <w:trHeight w:val="314" w:hRule="atLeast"/>
        </w:trPr>
        <w:tc>
          <w:tcPr>
            <w:tcW w:w="1680" w:type="dxa"/>
          </w:tcPr>
          <w:p>
            <w:pPr>
              <w:pStyle w:val="TableParagraph"/>
              <w:rPr>
                <w:sz w:val="18"/>
              </w:rPr>
            </w:pPr>
            <w:r>
              <w:rPr>
                <w:sz w:val="18"/>
              </w:rPr>
              <w:t>4901.10.99</w:t>
            </w:r>
          </w:p>
        </w:tc>
        <w:tc>
          <w:tcPr>
            <w:tcW w:w="4244" w:type="dxa"/>
            <w:gridSpan w:val="2"/>
          </w:tcPr>
          <w:p>
            <w:pPr>
              <w:pStyle w:val="TableParagraph"/>
              <w:rPr>
                <w:sz w:val="18"/>
              </w:rPr>
            </w:pPr>
            <w:r>
              <w:rPr>
                <w:sz w:val="18"/>
              </w:rPr>
              <w:t>Los demás.</w:t>
            </w:r>
          </w:p>
        </w:tc>
        <w:tc>
          <w:tcPr>
            <w:tcW w:w="3269" w:type="dxa"/>
            <w:gridSpan w:val="2"/>
          </w:tcPr>
          <w:p>
            <w:pPr>
              <w:pStyle w:val="TableParagraph"/>
              <w:ind w:left="84"/>
              <w:rPr>
                <w:sz w:val="18"/>
              </w:rPr>
            </w:pPr>
            <w:r>
              <w:rPr>
                <w:sz w:val="18"/>
              </w:rPr>
              <w:t>Libros</w:t>
            </w:r>
          </w:p>
        </w:tc>
      </w:tr>
      <w:tr>
        <w:trPr>
          <w:trHeight w:val="734" w:hRule="atLeast"/>
        </w:trPr>
        <w:tc>
          <w:tcPr>
            <w:tcW w:w="1680" w:type="dxa"/>
          </w:tcPr>
          <w:p>
            <w:pPr>
              <w:pStyle w:val="TableParagraph"/>
              <w:spacing w:before="0"/>
              <w:ind w:left="0"/>
              <w:rPr>
                <w:rFonts w:ascii="Times New Roman"/>
                <w:sz w:val="16"/>
              </w:rPr>
            </w:pPr>
          </w:p>
        </w:tc>
        <w:tc>
          <w:tcPr>
            <w:tcW w:w="4244" w:type="dxa"/>
            <w:gridSpan w:val="2"/>
          </w:tcPr>
          <w:p>
            <w:pPr>
              <w:pStyle w:val="TableParagraph"/>
              <w:spacing w:before="0"/>
              <w:ind w:left="0"/>
              <w:rPr>
                <w:rFonts w:ascii="Times New Roman"/>
                <w:sz w:val="16"/>
              </w:rPr>
            </w:pPr>
          </w:p>
        </w:tc>
        <w:tc>
          <w:tcPr>
            <w:tcW w:w="3269" w:type="dxa"/>
            <w:gridSpan w:val="2"/>
          </w:tcPr>
          <w:p>
            <w:pPr>
              <w:pStyle w:val="TableParagraph"/>
              <w:spacing w:line="242" w:lineRule="auto"/>
              <w:ind w:left="84" w:right="60"/>
              <w:jc w:val="both"/>
              <w:rPr>
                <w:sz w:val="18"/>
              </w:rPr>
            </w:pPr>
            <w:r>
              <w:rPr>
                <w:sz w:val="18"/>
              </w:rPr>
              <w:t>Folletos e impresos similares con texto de contenido científico o literario, sin menciones publicitarias</w:t>
            </w:r>
          </w:p>
        </w:tc>
      </w:tr>
      <w:tr>
        <w:trPr>
          <w:trHeight w:val="509" w:hRule="atLeast"/>
        </w:trPr>
        <w:tc>
          <w:tcPr>
            <w:tcW w:w="1680" w:type="dxa"/>
          </w:tcPr>
          <w:p>
            <w:pPr>
              <w:pStyle w:val="TableParagraph"/>
              <w:rPr>
                <w:sz w:val="18"/>
              </w:rPr>
            </w:pPr>
            <w:r>
              <w:rPr>
                <w:sz w:val="18"/>
              </w:rPr>
              <w:t>4901.91.04</w:t>
            </w:r>
          </w:p>
        </w:tc>
        <w:tc>
          <w:tcPr>
            <w:tcW w:w="4244" w:type="dxa"/>
            <w:gridSpan w:val="2"/>
          </w:tcPr>
          <w:p>
            <w:pPr>
              <w:pStyle w:val="TableParagraph"/>
              <w:rPr>
                <w:sz w:val="18"/>
              </w:rPr>
            </w:pPr>
            <w:r>
              <w:rPr>
                <w:sz w:val="18"/>
              </w:rPr>
              <w:t>Diccionarios y enciclopedias, incluso en fascículos.</w:t>
            </w:r>
          </w:p>
        </w:tc>
        <w:tc>
          <w:tcPr>
            <w:tcW w:w="3269" w:type="dxa"/>
            <w:gridSpan w:val="2"/>
          </w:tcPr>
          <w:p>
            <w:pPr>
              <w:pStyle w:val="TableParagraph"/>
              <w:spacing w:before="0"/>
              <w:ind w:left="0"/>
              <w:rPr>
                <w:rFonts w:ascii="Times New Roman"/>
                <w:sz w:val="16"/>
              </w:rPr>
            </w:pPr>
          </w:p>
        </w:tc>
      </w:tr>
      <w:tr>
        <w:trPr>
          <w:trHeight w:val="314" w:hRule="atLeast"/>
        </w:trPr>
        <w:tc>
          <w:tcPr>
            <w:tcW w:w="1680" w:type="dxa"/>
          </w:tcPr>
          <w:p>
            <w:pPr>
              <w:pStyle w:val="TableParagraph"/>
              <w:rPr>
                <w:sz w:val="18"/>
              </w:rPr>
            </w:pPr>
            <w:r>
              <w:rPr>
                <w:sz w:val="18"/>
              </w:rPr>
              <w:t>4901.99.01</w:t>
            </w:r>
          </w:p>
        </w:tc>
        <w:tc>
          <w:tcPr>
            <w:tcW w:w="4244" w:type="dxa"/>
            <w:gridSpan w:val="2"/>
          </w:tcPr>
          <w:p>
            <w:pPr>
              <w:pStyle w:val="TableParagraph"/>
              <w:rPr>
                <w:sz w:val="18"/>
              </w:rPr>
            </w:pPr>
            <w:r>
              <w:rPr>
                <w:sz w:val="18"/>
              </w:rPr>
              <w:t>Impresos y publicado en México.</w:t>
            </w:r>
          </w:p>
        </w:tc>
        <w:tc>
          <w:tcPr>
            <w:tcW w:w="3269" w:type="dxa"/>
            <w:gridSpan w:val="2"/>
          </w:tcPr>
          <w:p>
            <w:pPr>
              <w:pStyle w:val="TableParagraph"/>
              <w:ind w:left="84"/>
              <w:rPr>
                <w:sz w:val="18"/>
              </w:rPr>
            </w:pPr>
            <w:r>
              <w:rPr>
                <w:sz w:val="18"/>
              </w:rPr>
              <w:t>Libros</w:t>
            </w:r>
          </w:p>
        </w:tc>
      </w:tr>
    </w:tbl>
    <w:p>
      <w:pPr>
        <w:pStyle w:val="BodyText"/>
        <w:rPr>
          <w:b/>
          <w:sz w:val="20"/>
        </w:rPr>
      </w:pPr>
    </w:p>
    <w:p>
      <w:pPr>
        <w:pStyle w:val="BodyText"/>
        <w:spacing w:before="5"/>
        <w:rPr>
          <w:b/>
          <w:sz w:val="20"/>
        </w:rPr>
      </w:pPr>
    </w:p>
    <w:tbl>
      <w:tblPr>
        <w:tblW w:w="0" w:type="auto"/>
        <w:jc w:val="left"/>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80"/>
        <w:gridCol w:w="4245"/>
        <w:gridCol w:w="3270"/>
      </w:tblGrid>
      <w:tr>
        <w:trPr>
          <w:trHeight w:val="749" w:hRule="atLeast"/>
        </w:trPr>
        <w:tc>
          <w:tcPr>
            <w:tcW w:w="1680" w:type="dxa"/>
          </w:tcPr>
          <w:p>
            <w:pPr>
              <w:pStyle w:val="TableParagraph"/>
              <w:spacing w:before="0"/>
              <w:ind w:left="0"/>
              <w:rPr>
                <w:rFonts w:ascii="Times New Roman"/>
                <w:sz w:val="16"/>
              </w:rPr>
            </w:pPr>
          </w:p>
        </w:tc>
        <w:tc>
          <w:tcPr>
            <w:tcW w:w="4245" w:type="dxa"/>
          </w:tcPr>
          <w:p>
            <w:pPr>
              <w:pStyle w:val="TableParagraph"/>
              <w:spacing w:before="0"/>
              <w:ind w:left="0"/>
              <w:rPr>
                <w:rFonts w:ascii="Times New Roman"/>
                <w:sz w:val="16"/>
              </w:rPr>
            </w:pPr>
          </w:p>
        </w:tc>
        <w:tc>
          <w:tcPr>
            <w:tcW w:w="3270" w:type="dxa"/>
          </w:tcPr>
          <w:p>
            <w:pPr>
              <w:pStyle w:val="TableParagraph"/>
              <w:spacing w:line="242" w:lineRule="auto" w:before="56"/>
              <w:ind w:right="62"/>
              <w:jc w:val="both"/>
              <w:rPr>
                <w:sz w:val="18"/>
              </w:rPr>
            </w:pPr>
            <w:r>
              <w:rPr>
                <w:sz w:val="18"/>
              </w:rPr>
              <w:t>Folletos e impresos similares con texto de contenido científico o literario, sin menciones publicitarias</w:t>
            </w:r>
          </w:p>
        </w:tc>
      </w:tr>
      <w:tr>
        <w:trPr>
          <w:trHeight w:val="314" w:hRule="atLeast"/>
        </w:trPr>
        <w:tc>
          <w:tcPr>
            <w:tcW w:w="1680" w:type="dxa"/>
          </w:tcPr>
          <w:p>
            <w:pPr>
              <w:pStyle w:val="TableParagraph"/>
              <w:spacing w:before="56"/>
              <w:rPr>
                <w:sz w:val="18"/>
              </w:rPr>
            </w:pPr>
            <w:r>
              <w:rPr>
                <w:sz w:val="18"/>
              </w:rPr>
              <w:t>4901.99.02</w:t>
            </w:r>
          </w:p>
        </w:tc>
        <w:tc>
          <w:tcPr>
            <w:tcW w:w="4245" w:type="dxa"/>
          </w:tcPr>
          <w:p>
            <w:pPr>
              <w:pStyle w:val="TableParagraph"/>
              <w:spacing w:before="56"/>
              <w:rPr>
                <w:sz w:val="18"/>
              </w:rPr>
            </w:pPr>
            <w:r>
              <w:rPr>
                <w:sz w:val="18"/>
              </w:rPr>
              <w:t>Para la enseñanza primaria.</w:t>
            </w:r>
          </w:p>
        </w:tc>
        <w:tc>
          <w:tcPr>
            <w:tcW w:w="3270" w:type="dxa"/>
          </w:tcPr>
          <w:p>
            <w:pPr>
              <w:pStyle w:val="TableParagraph"/>
              <w:spacing w:before="56"/>
              <w:rPr>
                <w:sz w:val="18"/>
              </w:rPr>
            </w:pPr>
            <w:r>
              <w:rPr>
                <w:sz w:val="18"/>
              </w:rPr>
              <w:t>Libros</w:t>
            </w:r>
          </w:p>
        </w:tc>
      </w:tr>
      <w:tr>
        <w:trPr>
          <w:trHeight w:val="734" w:hRule="atLeast"/>
        </w:trPr>
        <w:tc>
          <w:tcPr>
            <w:tcW w:w="1680" w:type="dxa"/>
          </w:tcPr>
          <w:p>
            <w:pPr>
              <w:pStyle w:val="TableParagraph"/>
              <w:spacing w:before="0"/>
              <w:ind w:left="0"/>
              <w:rPr>
                <w:rFonts w:ascii="Times New Roman"/>
                <w:sz w:val="16"/>
              </w:rPr>
            </w:pPr>
          </w:p>
        </w:tc>
        <w:tc>
          <w:tcPr>
            <w:tcW w:w="4245" w:type="dxa"/>
          </w:tcPr>
          <w:p>
            <w:pPr>
              <w:pStyle w:val="TableParagraph"/>
              <w:spacing w:before="0"/>
              <w:ind w:left="0"/>
              <w:rPr>
                <w:rFonts w:ascii="Times New Roman"/>
                <w:sz w:val="16"/>
              </w:rPr>
            </w:pPr>
          </w:p>
        </w:tc>
        <w:tc>
          <w:tcPr>
            <w:tcW w:w="3270" w:type="dxa"/>
          </w:tcPr>
          <w:p>
            <w:pPr>
              <w:pStyle w:val="TableParagraph"/>
              <w:spacing w:line="242" w:lineRule="auto" w:before="56"/>
              <w:ind w:right="62"/>
              <w:jc w:val="both"/>
              <w:rPr>
                <w:sz w:val="18"/>
              </w:rPr>
            </w:pPr>
            <w:r>
              <w:rPr>
                <w:sz w:val="18"/>
              </w:rPr>
              <w:t>Folletos e impresos similares con texto de contenido científico o literario, sin menciones publicitarias</w:t>
            </w:r>
          </w:p>
        </w:tc>
      </w:tr>
      <w:tr>
        <w:trPr>
          <w:trHeight w:val="734" w:hRule="atLeast"/>
        </w:trPr>
        <w:tc>
          <w:tcPr>
            <w:tcW w:w="1680" w:type="dxa"/>
          </w:tcPr>
          <w:p>
            <w:pPr>
              <w:pStyle w:val="TableParagraph"/>
              <w:spacing w:before="56"/>
              <w:rPr>
                <w:sz w:val="18"/>
              </w:rPr>
            </w:pPr>
            <w:r>
              <w:rPr>
                <w:sz w:val="18"/>
              </w:rPr>
              <w:t>4901.99.03</w:t>
            </w:r>
          </w:p>
        </w:tc>
        <w:tc>
          <w:tcPr>
            <w:tcW w:w="4245" w:type="dxa"/>
          </w:tcPr>
          <w:p>
            <w:pPr>
              <w:pStyle w:val="TableParagraph"/>
              <w:spacing w:line="242" w:lineRule="auto" w:before="56"/>
              <w:ind w:right="67"/>
              <w:jc w:val="both"/>
              <w:rPr>
                <w:sz w:val="18"/>
              </w:rPr>
            </w:pPr>
            <w:r>
              <w:rPr>
                <w:sz w:val="18"/>
              </w:rPr>
              <w:t>Anuarios científicos o técnicos, excepto </w:t>
            </w:r>
            <w:r>
              <w:rPr>
                <w:spacing w:val="-6"/>
                <w:sz w:val="18"/>
              </w:rPr>
              <w:t>lo </w:t>
            </w:r>
            <w:r>
              <w:rPr>
                <w:sz w:val="18"/>
              </w:rPr>
              <w:t>comprendido en la fracción arancelaria 4901.99.01.</w:t>
            </w:r>
          </w:p>
        </w:tc>
        <w:tc>
          <w:tcPr>
            <w:tcW w:w="3270" w:type="dxa"/>
          </w:tcPr>
          <w:p>
            <w:pPr>
              <w:pStyle w:val="TableParagraph"/>
              <w:spacing w:before="56"/>
              <w:rPr>
                <w:sz w:val="18"/>
              </w:rPr>
            </w:pPr>
            <w:r>
              <w:rPr>
                <w:sz w:val="18"/>
              </w:rPr>
              <w:t>Libros</w:t>
            </w:r>
          </w:p>
        </w:tc>
      </w:tr>
      <w:tr>
        <w:trPr>
          <w:trHeight w:val="734" w:hRule="atLeast"/>
        </w:trPr>
        <w:tc>
          <w:tcPr>
            <w:tcW w:w="1680" w:type="dxa"/>
            <w:tcBorders>
              <w:bottom w:val="single" w:sz="12" w:space="0" w:color="000000"/>
            </w:tcBorders>
          </w:tcPr>
          <w:p>
            <w:pPr>
              <w:pStyle w:val="TableParagraph"/>
              <w:spacing w:before="0"/>
              <w:ind w:left="0"/>
              <w:rPr>
                <w:rFonts w:ascii="Times New Roman"/>
                <w:sz w:val="16"/>
              </w:rPr>
            </w:pPr>
          </w:p>
        </w:tc>
        <w:tc>
          <w:tcPr>
            <w:tcW w:w="4245" w:type="dxa"/>
            <w:tcBorders>
              <w:bottom w:val="single" w:sz="12" w:space="0" w:color="000000"/>
            </w:tcBorders>
          </w:tcPr>
          <w:p>
            <w:pPr>
              <w:pStyle w:val="TableParagraph"/>
              <w:spacing w:before="0"/>
              <w:ind w:left="0"/>
              <w:rPr>
                <w:rFonts w:ascii="Times New Roman"/>
                <w:sz w:val="16"/>
              </w:rPr>
            </w:pPr>
          </w:p>
        </w:tc>
        <w:tc>
          <w:tcPr>
            <w:tcW w:w="3270" w:type="dxa"/>
            <w:tcBorders>
              <w:bottom w:val="single" w:sz="12" w:space="0" w:color="000000"/>
            </w:tcBorders>
          </w:tcPr>
          <w:p>
            <w:pPr>
              <w:pStyle w:val="TableParagraph"/>
              <w:spacing w:line="242" w:lineRule="auto" w:before="56"/>
              <w:ind w:right="62"/>
              <w:jc w:val="both"/>
              <w:rPr>
                <w:sz w:val="18"/>
              </w:rPr>
            </w:pPr>
            <w:r>
              <w:rPr>
                <w:sz w:val="18"/>
              </w:rPr>
              <w:t>Folletos e impresos similares con texto de contenido científico o literario, sin menciones publicitarias</w:t>
            </w:r>
          </w:p>
        </w:tc>
      </w:tr>
      <w:tr>
        <w:trPr>
          <w:trHeight w:val="1364" w:hRule="atLeast"/>
        </w:trPr>
        <w:tc>
          <w:tcPr>
            <w:tcW w:w="1680" w:type="dxa"/>
            <w:tcBorders>
              <w:top w:val="single" w:sz="12" w:space="0" w:color="000000"/>
            </w:tcBorders>
          </w:tcPr>
          <w:p>
            <w:pPr>
              <w:pStyle w:val="TableParagraph"/>
              <w:spacing w:before="56"/>
              <w:rPr>
                <w:sz w:val="18"/>
              </w:rPr>
            </w:pPr>
            <w:r>
              <w:rPr>
                <w:sz w:val="18"/>
              </w:rPr>
              <w:t>4901.99.04</w:t>
            </w:r>
          </w:p>
        </w:tc>
        <w:tc>
          <w:tcPr>
            <w:tcW w:w="4245" w:type="dxa"/>
            <w:tcBorders>
              <w:top w:val="single" w:sz="12" w:space="0" w:color="000000"/>
            </w:tcBorders>
          </w:tcPr>
          <w:p>
            <w:pPr>
              <w:pStyle w:val="TableParagraph"/>
              <w:spacing w:line="242" w:lineRule="auto" w:before="56"/>
              <w:ind w:right="62"/>
              <w:jc w:val="both"/>
              <w:rPr>
                <w:sz w:val="18"/>
              </w:rPr>
            </w:pPr>
            <w:r>
              <w:rPr>
                <w:sz w:val="18"/>
              </w:rPr>
              <w:t>Obras de la literatura universal, libros o fascículos técnicos, científicos o de arte, incluso los de carácter biográfico, impresos en español, aunque contengan otros idiomas, excepto lo comprendido en las fracciones arancelarias 4901.99.01, 4901.99.02 y 4901.99.05.</w:t>
            </w:r>
          </w:p>
        </w:tc>
        <w:tc>
          <w:tcPr>
            <w:tcW w:w="3270" w:type="dxa"/>
            <w:tcBorders>
              <w:top w:val="single" w:sz="12" w:space="0" w:color="000000"/>
            </w:tcBorders>
          </w:tcPr>
          <w:p>
            <w:pPr>
              <w:pStyle w:val="TableParagraph"/>
              <w:spacing w:before="56"/>
              <w:rPr>
                <w:sz w:val="18"/>
              </w:rPr>
            </w:pPr>
            <w:r>
              <w:rPr>
                <w:sz w:val="18"/>
              </w:rPr>
              <w:t>Libros</w:t>
            </w:r>
          </w:p>
        </w:tc>
      </w:tr>
      <w:tr>
        <w:trPr>
          <w:trHeight w:val="734" w:hRule="atLeast"/>
        </w:trPr>
        <w:tc>
          <w:tcPr>
            <w:tcW w:w="1680" w:type="dxa"/>
          </w:tcPr>
          <w:p>
            <w:pPr>
              <w:pStyle w:val="TableParagraph"/>
              <w:spacing w:before="0"/>
              <w:ind w:left="0"/>
              <w:rPr>
                <w:rFonts w:ascii="Times New Roman"/>
                <w:sz w:val="16"/>
              </w:rPr>
            </w:pPr>
          </w:p>
        </w:tc>
        <w:tc>
          <w:tcPr>
            <w:tcW w:w="4245" w:type="dxa"/>
          </w:tcPr>
          <w:p>
            <w:pPr>
              <w:pStyle w:val="TableParagraph"/>
              <w:spacing w:before="0"/>
              <w:ind w:left="0"/>
              <w:rPr>
                <w:rFonts w:ascii="Times New Roman"/>
                <w:sz w:val="16"/>
              </w:rPr>
            </w:pPr>
          </w:p>
        </w:tc>
        <w:tc>
          <w:tcPr>
            <w:tcW w:w="3270" w:type="dxa"/>
          </w:tcPr>
          <w:p>
            <w:pPr>
              <w:pStyle w:val="TableParagraph"/>
              <w:spacing w:line="242" w:lineRule="auto" w:before="56"/>
              <w:ind w:right="62"/>
              <w:jc w:val="both"/>
              <w:rPr>
                <w:sz w:val="18"/>
              </w:rPr>
            </w:pPr>
            <w:r>
              <w:rPr>
                <w:sz w:val="18"/>
              </w:rPr>
              <w:t>Folletos e impresos similares con texto de contenido científico o literario, sin menciones publicitarias</w:t>
            </w:r>
          </w:p>
        </w:tc>
      </w:tr>
      <w:tr>
        <w:trPr>
          <w:trHeight w:val="314" w:hRule="atLeast"/>
        </w:trPr>
        <w:tc>
          <w:tcPr>
            <w:tcW w:w="1680" w:type="dxa"/>
          </w:tcPr>
          <w:p>
            <w:pPr>
              <w:pStyle w:val="TableParagraph"/>
              <w:spacing w:before="56"/>
              <w:rPr>
                <w:sz w:val="18"/>
              </w:rPr>
            </w:pPr>
            <w:r>
              <w:rPr>
                <w:sz w:val="18"/>
              </w:rPr>
              <w:t>4901.99.05</w:t>
            </w:r>
          </w:p>
        </w:tc>
        <w:tc>
          <w:tcPr>
            <w:tcW w:w="4245" w:type="dxa"/>
          </w:tcPr>
          <w:p>
            <w:pPr>
              <w:pStyle w:val="TableParagraph"/>
              <w:spacing w:before="56"/>
              <w:rPr>
                <w:sz w:val="18"/>
              </w:rPr>
            </w:pPr>
            <w:r>
              <w:rPr>
                <w:sz w:val="18"/>
              </w:rPr>
              <w:t>Impresos en relieve para uso de ciegos.</w:t>
            </w:r>
          </w:p>
        </w:tc>
        <w:tc>
          <w:tcPr>
            <w:tcW w:w="3270" w:type="dxa"/>
          </w:tcPr>
          <w:p>
            <w:pPr>
              <w:pStyle w:val="TableParagraph"/>
              <w:spacing w:before="56"/>
              <w:rPr>
                <w:sz w:val="18"/>
              </w:rPr>
            </w:pPr>
            <w:r>
              <w:rPr>
                <w:sz w:val="18"/>
              </w:rPr>
              <w:t>Libros</w:t>
            </w:r>
          </w:p>
        </w:tc>
      </w:tr>
      <w:tr>
        <w:trPr>
          <w:trHeight w:val="734" w:hRule="atLeast"/>
        </w:trPr>
        <w:tc>
          <w:tcPr>
            <w:tcW w:w="1680" w:type="dxa"/>
            <w:tcBorders>
              <w:left w:val="single" w:sz="8" w:space="0" w:color="000000"/>
              <w:right w:val="single" w:sz="8" w:space="0" w:color="000000"/>
            </w:tcBorders>
          </w:tcPr>
          <w:p>
            <w:pPr>
              <w:pStyle w:val="TableParagraph"/>
              <w:spacing w:before="0"/>
              <w:ind w:left="0"/>
              <w:rPr>
                <w:rFonts w:ascii="Times New Roman"/>
                <w:sz w:val="16"/>
              </w:rPr>
            </w:pPr>
          </w:p>
        </w:tc>
        <w:tc>
          <w:tcPr>
            <w:tcW w:w="4245" w:type="dxa"/>
            <w:tcBorders>
              <w:left w:val="single" w:sz="8" w:space="0" w:color="000000"/>
              <w:right w:val="single" w:sz="8" w:space="0" w:color="000000"/>
            </w:tcBorders>
          </w:tcPr>
          <w:p>
            <w:pPr>
              <w:pStyle w:val="TableParagraph"/>
              <w:spacing w:before="0"/>
              <w:ind w:left="0"/>
              <w:rPr>
                <w:rFonts w:ascii="Times New Roman"/>
                <w:sz w:val="16"/>
              </w:rPr>
            </w:pPr>
          </w:p>
        </w:tc>
        <w:tc>
          <w:tcPr>
            <w:tcW w:w="3270" w:type="dxa"/>
            <w:tcBorders>
              <w:left w:val="single" w:sz="8" w:space="0" w:color="000000"/>
              <w:right w:val="single" w:sz="8" w:space="0" w:color="000000"/>
            </w:tcBorders>
          </w:tcPr>
          <w:p>
            <w:pPr>
              <w:pStyle w:val="TableParagraph"/>
              <w:spacing w:line="242" w:lineRule="auto" w:before="56"/>
              <w:ind w:left="81" w:right="60"/>
              <w:jc w:val="both"/>
              <w:rPr>
                <w:sz w:val="18"/>
              </w:rPr>
            </w:pPr>
            <w:r>
              <w:rPr>
                <w:sz w:val="18"/>
              </w:rPr>
              <w:t>Folletos e impresos similares con texto de contenido científico o literario, sin menciones publicitarias</w:t>
            </w:r>
          </w:p>
        </w:tc>
      </w:tr>
    </w:tbl>
    <w:p>
      <w:pPr>
        <w:spacing w:after="0" w:line="242" w:lineRule="auto"/>
        <w:jc w:val="both"/>
        <w:rPr>
          <w:sz w:val="18"/>
        </w:rPr>
        <w:sectPr>
          <w:pgSz w:w="12240" w:h="15840"/>
          <w:pgMar w:header="274" w:footer="280" w:top="480" w:bottom="480" w:left="880" w:right="700"/>
        </w:sectPr>
      </w:pPr>
    </w:p>
    <w:p>
      <w:pPr>
        <w:pStyle w:val="BodyText"/>
        <w:spacing w:before="11"/>
        <w:rPr>
          <w:b/>
          <w:sz w:val="6"/>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80"/>
        <w:gridCol w:w="4245"/>
        <w:gridCol w:w="3270"/>
      </w:tblGrid>
      <w:tr>
        <w:trPr>
          <w:trHeight w:val="1139" w:hRule="atLeast"/>
        </w:trPr>
        <w:tc>
          <w:tcPr>
            <w:tcW w:w="1680" w:type="dxa"/>
            <w:tcBorders>
              <w:top w:val="nil"/>
            </w:tcBorders>
          </w:tcPr>
          <w:p>
            <w:pPr>
              <w:pStyle w:val="TableParagraph"/>
              <w:rPr>
                <w:sz w:val="18"/>
              </w:rPr>
            </w:pPr>
            <w:r>
              <w:rPr>
                <w:sz w:val="18"/>
              </w:rPr>
              <w:t>4901.99.06</w:t>
            </w:r>
          </w:p>
        </w:tc>
        <w:tc>
          <w:tcPr>
            <w:tcW w:w="4245" w:type="dxa"/>
            <w:tcBorders>
              <w:top w:val="nil"/>
            </w:tcBorders>
          </w:tcPr>
          <w:p>
            <w:pPr>
              <w:pStyle w:val="TableParagraph"/>
              <w:spacing w:line="242" w:lineRule="auto"/>
              <w:ind w:right="61"/>
              <w:jc w:val="both"/>
              <w:rPr>
                <w:sz w:val="18"/>
              </w:rPr>
            </w:pPr>
            <w:r>
              <w:rPr>
                <w:sz w:val="18"/>
              </w:rPr>
              <w:t>Las demás obras de la literatura universal, libros </w:t>
            </w:r>
            <w:r>
              <w:rPr>
                <w:spacing w:val="-13"/>
                <w:sz w:val="18"/>
              </w:rPr>
              <w:t>o </w:t>
            </w:r>
            <w:r>
              <w:rPr>
                <w:sz w:val="18"/>
              </w:rPr>
              <w:t>fascículos técnicos, científicos o de arte, incluso los de carácter biográfico, excepto lo comprendido en las fracciones 4901.99.01,</w:t>
            </w:r>
            <w:r>
              <w:rPr>
                <w:spacing w:val="16"/>
                <w:sz w:val="18"/>
              </w:rPr>
              <w:t> </w:t>
            </w:r>
            <w:r>
              <w:rPr>
                <w:sz w:val="18"/>
              </w:rPr>
              <w:t>4901.99.02,</w:t>
            </w:r>
          </w:p>
          <w:p>
            <w:pPr>
              <w:pStyle w:val="TableParagraph"/>
              <w:spacing w:before="4"/>
              <w:jc w:val="both"/>
              <w:rPr>
                <w:sz w:val="18"/>
              </w:rPr>
            </w:pPr>
            <w:r>
              <w:rPr>
                <w:sz w:val="18"/>
              </w:rPr>
              <w:t>4901.99.04 y 4901.99.05.</w:t>
            </w:r>
          </w:p>
        </w:tc>
        <w:tc>
          <w:tcPr>
            <w:tcW w:w="3270" w:type="dxa"/>
            <w:tcBorders>
              <w:top w:val="nil"/>
            </w:tcBorders>
          </w:tcPr>
          <w:p>
            <w:pPr>
              <w:pStyle w:val="TableParagraph"/>
              <w:rPr>
                <w:sz w:val="18"/>
              </w:rPr>
            </w:pPr>
            <w:r>
              <w:rPr>
                <w:sz w:val="18"/>
              </w:rPr>
              <w:t>Libros</w:t>
            </w:r>
          </w:p>
        </w:tc>
      </w:tr>
      <w:tr>
        <w:trPr>
          <w:trHeight w:val="734" w:hRule="atLeast"/>
        </w:trPr>
        <w:tc>
          <w:tcPr>
            <w:tcW w:w="1680" w:type="dxa"/>
          </w:tcPr>
          <w:p>
            <w:pPr>
              <w:pStyle w:val="TableParagraph"/>
              <w:spacing w:before="0"/>
              <w:ind w:left="0"/>
              <w:rPr>
                <w:rFonts w:ascii="Times New Roman"/>
                <w:sz w:val="16"/>
              </w:rPr>
            </w:pPr>
          </w:p>
        </w:tc>
        <w:tc>
          <w:tcPr>
            <w:tcW w:w="4245" w:type="dxa"/>
          </w:tcPr>
          <w:p>
            <w:pPr>
              <w:pStyle w:val="TableParagraph"/>
              <w:spacing w:before="0"/>
              <w:ind w:left="0"/>
              <w:rPr>
                <w:rFonts w:ascii="Times New Roman"/>
                <w:sz w:val="16"/>
              </w:rPr>
            </w:pPr>
          </w:p>
        </w:tc>
        <w:tc>
          <w:tcPr>
            <w:tcW w:w="3270" w:type="dxa"/>
          </w:tcPr>
          <w:p>
            <w:pPr>
              <w:pStyle w:val="TableParagraph"/>
              <w:spacing w:line="242" w:lineRule="auto" w:before="56"/>
              <w:ind w:right="62"/>
              <w:jc w:val="both"/>
              <w:rPr>
                <w:sz w:val="18"/>
              </w:rPr>
            </w:pPr>
            <w:r>
              <w:rPr>
                <w:sz w:val="18"/>
              </w:rPr>
              <w:t>Folletos e impresos similares con texto de contenido científico o literario, sin menciones publicitarias</w:t>
            </w:r>
          </w:p>
        </w:tc>
      </w:tr>
      <w:tr>
        <w:trPr>
          <w:trHeight w:val="314" w:hRule="atLeast"/>
        </w:trPr>
        <w:tc>
          <w:tcPr>
            <w:tcW w:w="1680" w:type="dxa"/>
          </w:tcPr>
          <w:p>
            <w:pPr>
              <w:pStyle w:val="TableParagraph"/>
              <w:spacing w:before="56"/>
              <w:rPr>
                <w:sz w:val="18"/>
              </w:rPr>
            </w:pPr>
            <w:r>
              <w:rPr>
                <w:sz w:val="18"/>
              </w:rPr>
              <w:t>4901.99.99</w:t>
            </w:r>
          </w:p>
        </w:tc>
        <w:tc>
          <w:tcPr>
            <w:tcW w:w="4245" w:type="dxa"/>
          </w:tcPr>
          <w:p>
            <w:pPr>
              <w:pStyle w:val="TableParagraph"/>
              <w:spacing w:before="56"/>
              <w:rPr>
                <w:sz w:val="18"/>
              </w:rPr>
            </w:pPr>
            <w:r>
              <w:rPr>
                <w:sz w:val="18"/>
              </w:rPr>
              <w:t>Los demás.</w:t>
            </w:r>
          </w:p>
        </w:tc>
        <w:tc>
          <w:tcPr>
            <w:tcW w:w="3270" w:type="dxa"/>
          </w:tcPr>
          <w:p>
            <w:pPr>
              <w:pStyle w:val="TableParagraph"/>
              <w:spacing w:before="56"/>
              <w:rPr>
                <w:sz w:val="18"/>
              </w:rPr>
            </w:pPr>
            <w:r>
              <w:rPr>
                <w:sz w:val="18"/>
              </w:rPr>
              <w:t>Libros</w:t>
            </w:r>
          </w:p>
        </w:tc>
      </w:tr>
      <w:tr>
        <w:trPr>
          <w:trHeight w:val="734" w:hRule="atLeast"/>
        </w:trPr>
        <w:tc>
          <w:tcPr>
            <w:tcW w:w="1680" w:type="dxa"/>
          </w:tcPr>
          <w:p>
            <w:pPr>
              <w:pStyle w:val="TableParagraph"/>
              <w:spacing w:before="0"/>
              <w:ind w:left="0"/>
              <w:rPr>
                <w:rFonts w:ascii="Times New Roman"/>
                <w:sz w:val="16"/>
              </w:rPr>
            </w:pPr>
          </w:p>
        </w:tc>
        <w:tc>
          <w:tcPr>
            <w:tcW w:w="4245" w:type="dxa"/>
          </w:tcPr>
          <w:p>
            <w:pPr>
              <w:pStyle w:val="TableParagraph"/>
              <w:spacing w:before="0"/>
              <w:ind w:left="0"/>
              <w:rPr>
                <w:rFonts w:ascii="Times New Roman"/>
                <w:sz w:val="16"/>
              </w:rPr>
            </w:pPr>
          </w:p>
        </w:tc>
        <w:tc>
          <w:tcPr>
            <w:tcW w:w="3270" w:type="dxa"/>
          </w:tcPr>
          <w:p>
            <w:pPr>
              <w:pStyle w:val="TableParagraph"/>
              <w:spacing w:line="242" w:lineRule="auto" w:before="56"/>
              <w:ind w:right="62"/>
              <w:jc w:val="both"/>
              <w:rPr>
                <w:sz w:val="18"/>
              </w:rPr>
            </w:pPr>
            <w:r>
              <w:rPr>
                <w:sz w:val="18"/>
              </w:rPr>
              <w:t>Folletos e impresos similares con texto de contenido científico o literario, sin menciones publicitarias</w:t>
            </w:r>
          </w:p>
        </w:tc>
      </w:tr>
    </w:tbl>
    <w:p>
      <w:pPr>
        <w:pStyle w:val="BodyText"/>
        <w:rPr>
          <w:b/>
          <w:sz w:val="20"/>
        </w:rPr>
      </w:pPr>
    </w:p>
    <w:p>
      <w:pPr>
        <w:pStyle w:val="BodyText"/>
        <w:spacing w:before="5"/>
        <w:rPr>
          <w:b/>
          <w:sz w:val="20"/>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80"/>
        <w:gridCol w:w="3057"/>
        <w:gridCol w:w="293"/>
        <w:gridCol w:w="896"/>
        <w:gridCol w:w="3270"/>
      </w:tblGrid>
      <w:tr>
        <w:trPr>
          <w:trHeight w:val="524" w:hRule="atLeast"/>
        </w:trPr>
        <w:tc>
          <w:tcPr>
            <w:tcW w:w="1680" w:type="dxa"/>
          </w:tcPr>
          <w:p>
            <w:pPr>
              <w:pStyle w:val="TableParagraph"/>
              <w:spacing w:before="56"/>
              <w:rPr>
                <w:sz w:val="18"/>
              </w:rPr>
            </w:pPr>
            <w:r>
              <w:rPr>
                <w:sz w:val="18"/>
              </w:rPr>
              <w:t>4902.10.02</w:t>
            </w:r>
          </w:p>
        </w:tc>
        <w:tc>
          <w:tcPr>
            <w:tcW w:w="4246" w:type="dxa"/>
            <w:gridSpan w:val="3"/>
          </w:tcPr>
          <w:p>
            <w:pPr>
              <w:pStyle w:val="TableParagraph"/>
              <w:spacing w:line="242" w:lineRule="auto" w:before="56"/>
              <w:rPr>
                <w:sz w:val="18"/>
              </w:rPr>
            </w:pPr>
            <w:r>
              <w:rPr>
                <w:sz w:val="18"/>
              </w:rPr>
              <w:t>Que se publiquen cuatro veces por semana como mínimo.</w:t>
            </w:r>
          </w:p>
        </w:tc>
        <w:tc>
          <w:tcPr>
            <w:tcW w:w="3270" w:type="dxa"/>
          </w:tcPr>
          <w:p>
            <w:pPr>
              <w:pStyle w:val="TableParagraph"/>
              <w:spacing w:before="0"/>
              <w:ind w:left="0"/>
              <w:rPr>
                <w:rFonts w:ascii="Times New Roman"/>
                <w:sz w:val="16"/>
              </w:rPr>
            </w:pPr>
          </w:p>
        </w:tc>
      </w:tr>
      <w:tr>
        <w:trPr>
          <w:trHeight w:val="314" w:hRule="atLeast"/>
        </w:trPr>
        <w:tc>
          <w:tcPr>
            <w:tcW w:w="1680" w:type="dxa"/>
          </w:tcPr>
          <w:p>
            <w:pPr>
              <w:pStyle w:val="TableParagraph"/>
              <w:spacing w:before="56"/>
              <w:rPr>
                <w:sz w:val="18"/>
              </w:rPr>
            </w:pPr>
            <w:r>
              <w:rPr>
                <w:sz w:val="18"/>
              </w:rPr>
              <w:t>4902.90.99</w:t>
            </w:r>
          </w:p>
        </w:tc>
        <w:tc>
          <w:tcPr>
            <w:tcW w:w="4246" w:type="dxa"/>
            <w:gridSpan w:val="3"/>
          </w:tcPr>
          <w:p>
            <w:pPr>
              <w:pStyle w:val="TableParagraph"/>
              <w:spacing w:before="56"/>
              <w:rPr>
                <w:sz w:val="18"/>
              </w:rPr>
            </w:pPr>
            <w:r>
              <w:rPr>
                <w:sz w:val="18"/>
              </w:rPr>
              <w:t>Los demás.</w:t>
            </w:r>
          </w:p>
        </w:tc>
        <w:tc>
          <w:tcPr>
            <w:tcW w:w="3270" w:type="dxa"/>
          </w:tcPr>
          <w:p>
            <w:pPr>
              <w:pStyle w:val="TableParagraph"/>
              <w:spacing w:before="0"/>
              <w:ind w:left="0"/>
              <w:rPr>
                <w:rFonts w:ascii="Times New Roman"/>
                <w:sz w:val="16"/>
              </w:rPr>
            </w:pPr>
          </w:p>
        </w:tc>
      </w:tr>
      <w:tr>
        <w:trPr>
          <w:trHeight w:val="524" w:hRule="atLeast"/>
        </w:trPr>
        <w:tc>
          <w:tcPr>
            <w:tcW w:w="1680" w:type="dxa"/>
          </w:tcPr>
          <w:p>
            <w:pPr>
              <w:pStyle w:val="TableParagraph"/>
              <w:spacing w:before="56"/>
              <w:rPr>
                <w:sz w:val="18"/>
              </w:rPr>
            </w:pPr>
            <w:r>
              <w:rPr>
                <w:sz w:val="18"/>
              </w:rPr>
              <w:t>4903.00.01</w:t>
            </w:r>
          </w:p>
        </w:tc>
        <w:tc>
          <w:tcPr>
            <w:tcW w:w="4246" w:type="dxa"/>
            <w:gridSpan w:val="3"/>
          </w:tcPr>
          <w:p>
            <w:pPr>
              <w:pStyle w:val="TableParagraph"/>
              <w:spacing w:before="56"/>
              <w:rPr>
                <w:sz w:val="18"/>
              </w:rPr>
            </w:pPr>
            <w:r>
              <w:rPr>
                <w:sz w:val="18"/>
              </w:rPr>
              <w:t>Álbumes o libros de estampas.</w:t>
            </w:r>
          </w:p>
        </w:tc>
        <w:tc>
          <w:tcPr>
            <w:tcW w:w="3270" w:type="dxa"/>
          </w:tcPr>
          <w:p>
            <w:pPr>
              <w:pStyle w:val="TableParagraph"/>
              <w:spacing w:line="242" w:lineRule="auto" w:before="56"/>
              <w:ind w:left="82"/>
              <w:rPr>
                <w:sz w:val="18"/>
              </w:rPr>
            </w:pPr>
            <w:r>
              <w:rPr>
                <w:sz w:val="18"/>
              </w:rPr>
              <w:t>Con textos de contenido educativo o literario, sin mención publicitaria</w:t>
            </w:r>
          </w:p>
        </w:tc>
      </w:tr>
      <w:tr>
        <w:trPr>
          <w:trHeight w:val="524" w:hRule="atLeast"/>
        </w:trPr>
        <w:tc>
          <w:tcPr>
            <w:tcW w:w="1680" w:type="dxa"/>
          </w:tcPr>
          <w:p>
            <w:pPr>
              <w:pStyle w:val="TableParagraph"/>
              <w:spacing w:before="56"/>
              <w:rPr>
                <w:sz w:val="18"/>
              </w:rPr>
            </w:pPr>
            <w:r>
              <w:rPr>
                <w:sz w:val="18"/>
              </w:rPr>
              <w:t>4903.00.99</w:t>
            </w:r>
          </w:p>
        </w:tc>
        <w:tc>
          <w:tcPr>
            <w:tcW w:w="4246" w:type="dxa"/>
            <w:gridSpan w:val="3"/>
          </w:tcPr>
          <w:p>
            <w:pPr>
              <w:pStyle w:val="TableParagraph"/>
              <w:spacing w:before="56"/>
              <w:rPr>
                <w:sz w:val="18"/>
              </w:rPr>
            </w:pPr>
            <w:r>
              <w:rPr>
                <w:sz w:val="18"/>
              </w:rPr>
              <w:t>Los demás.</w:t>
            </w:r>
          </w:p>
        </w:tc>
        <w:tc>
          <w:tcPr>
            <w:tcW w:w="3270" w:type="dxa"/>
          </w:tcPr>
          <w:p>
            <w:pPr>
              <w:pStyle w:val="TableParagraph"/>
              <w:spacing w:line="242" w:lineRule="auto" w:before="56"/>
              <w:ind w:left="82"/>
              <w:rPr>
                <w:sz w:val="18"/>
              </w:rPr>
            </w:pPr>
            <w:r>
              <w:rPr>
                <w:sz w:val="18"/>
              </w:rPr>
              <w:t>Con textos de contenido educativo o literario, sin mención publicitaria</w:t>
            </w:r>
          </w:p>
        </w:tc>
      </w:tr>
      <w:tr>
        <w:trPr>
          <w:trHeight w:val="524" w:hRule="atLeast"/>
        </w:trPr>
        <w:tc>
          <w:tcPr>
            <w:tcW w:w="1680" w:type="dxa"/>
          </w:tcPr>
          <w:p>
            <w:pPr>
              <w:pStyle w:val="TableParagraph"/>
              <w:spacing w:before="56"/>
              <w:rPr>
                <w:sz w:val="18"/>
              </w:rPr>
            </w:pPr>
            <w:r>
              <w:rPr>
                <w:sz w:val="18"/>
              </w:rPr>
              <w:t>4904.00.01</w:t>
            </w:r>
          </w:p>
        </w:tc>
        <w:tc>
          <w:tcPr>
            <w:tcW w:w="4246" w:type="dxa"/>
            <w:gridSpan w:val="3"/>
          </w:tcPr>
          <w:p>
            <w:pPr>
              <w:pStyle w:val="TableParagraph"/>
              <w:spacing w:line="242" w:lineRule="auto" w:before="56"/>
              <w:rPr>
                <w:sz w:val="18"/>
              </w:rPr>
            </w:pPr>
            <w:r>
              <w:rPr>
                <w:sz w:val="18"/>
              </w:rPr>
              <w:t>Música manuscrita o impresa, incluso con ilustraciones o encuadernada.</w:t>
            </w:r>
          </w:p>
        </w:tc>
        <w:tc>
          <w:tcPr>
            <w:tcW w:w="3270" w:type="dxa"/>
          </w:tcPr>
          <w:p>
            <w:pPr>
              <w:pStyle w:val="TableParagraph"/>
              <w:spacing w:before="0"/>
              <w:ind w:left="0"/>
              <w:rPr>
                <w:rFonts w:ascii="Times New Roman"/>
                <w:sz w:val="16"/>
              </w:rPr>
            </w:pPr>
          </w:p>
        </w:tc>
      </w:tr>
      <w:tr>
        <w:trPr>
          <w:trHeight w:val="314" w:hRule="atLeast"/>
        </w:trPr>
        <w:tc>
          <w:tcPr>
            <w:tcW w:w="1680" w:type="dxa"/>
          </w:tcPr>
          <w:p>
            <w:pPr>
              <w:pStyle w:val="TableParagraph"/>
              <w:spacing w:before="56"/>
              <w:rPr>
                <w:sz w:val="18"/>
              </w:rPr>
            </w:pPr>
            <w:r>
              <w:rPr>
                <w:sz w:val="18"/>
              </w:rPr>
              <w:t>4905.10.01</w:t>
            </w:r>
          </w:p>
        </w:tc>
        <w:tc>
          <w:tcPr>
            <w:tcW w:w="4246" w:type="dxa"/>
            <w:gridSpan w:val="3"/>
          </w:tcPr>
          <w:p>
            <w:pPr>
              <w:pStyle w:val="TableParagraph"/>
              <w:spacing w:before="56"/>
              <w:rPr>
                <w:sz w:val="18"/>
              </w:rPr>
            </w:pPr>
            <w:r>
              <w:rPr>
                <w:sz w:val="18"/>
              </w:rPr>
              <w:t>Esferas.</w:t>
            </w:r>
          </w:p>
        </w:tc>
        <w:tc>
          <w:tcPr>
            <w:tcW w:w="3270" w:type="dxa"/>
          </w:tcPr>
          <w:p>
            <w:pPr>
              <w:pStyle w:val="TableParagraph"/>
              <w:spacing w:before="0"/>
              <w:ind w:left="0"/>
              <w:rPr>
                <w:rFonts w:ascii="Times New Roman"/>
                <w:sz w:val="16"/>
              </w:rPr>
            </w:pPr>
          </w:p>
        </w:tc>
      </w:tr>
      <w:tr>
        <w:trPr>
          <w:trHeight w:val="524" w:hRule="atLeast"/>
        </w:trPr>
        <w:tc>
          <w:tcPr>
            <w:tcW w:w="1680" w:type="dxa"/>
          </w:tcPr>
          <w:p>
            <w:pPr>
              <w:pStyle w:val="TableParagraph"/>
              <w:spacing w:before="56"/>
              <w:rPr>
                <w:sz w:val="18"/>
              </w:rPr>
            </w:pPr>
            <w:r>
              <w:rPr>
                <w:sz w:val="18"/>
              </w:rPr>
              <w:t>4905.91.01</w:t>
            </w:r>
          </w:p>
        </w:tc>
        <w:tc>
          <w:tcPr>
            <w:tcW w:w="3057" w:type="dxa"/>
            <w:tcBorders>
              <w:right w:val="nil"/>
            </w:tcBorders>
          </w:tcPr>
          <w:p>
            <w:pPr>
              <w:pStyle w:val="TableParagraph"/>
              <w:spacing w:line="242" w:lineRule="auto" w:before="56"/>
              <w:rPr>
                <w:sz w:val="18"/>
              </w:rPr>
            </w:pPr>
            <w:r>
              <w:rPr>
                <w:sz w:val="18"/>
              </w:rPr>
              <w:t>Cartas geográficas, topográficas mapas murales.</w:t>
            </w:r>
          </w:p>
        </w:tc>
        <w:tc>
          <w:tcPr>
            <w:tcW w:w="293" w:type="dxa"/>
            <w:tcBorders>
              <w:left w:val="nil"/>
              <w:right w:val="nil"/>
            </w:tcBorders>
          </w:tcPr>
          <w:p>
            <w:pPr>
              <w:pStyle w:val="TableParagraph"/>
              <w:spacing w:before="56"/>
              <w:ind w:left="13"/>
              <w:jc w:val="center"/>
              <w:rPr>
                <w:sz w:val="18"/>
              </w:rPr>
            </w:pPr>
            <w:r>
              <w:rPr>
                <w:sz w:val="18"/>
              </w:rPr>
              <w:t>o</w:t>
            </w:r>
          </w:p>
        </w:tc>
        <w:tc>
          <w:tcPr>
            <w:tcW w:w="896" w:type="dxa"/>
            <w:tcBorders>
              <w:left w:val="nil"/>
            </w:tcBorders>
          </w:tcPr>
          <w:p>
            <w:pPr>
              <w:pStyle w:val="TableParagraph"/>
              <w:spacing w:before="56"/>
              <w:ind w:left="82" w:right="45"/>
              <w:jc w:val="center"/>
              <w:rPr>
                <w:sz w:val="18"/>
              </w:rPr>
            </w:pPr>
            <w:r>
              <w:rPr>
                <w:sz w:val="18"/>
              </w:rPr>
              <w:t>náuticas;</w:t>
            </w:r>
          </w:p>
        </w:tc>
        <w:tc>
          <w:tcPr>
            <w:tcW w:w="3270" w:type="dxa"/>
          </w:tcPr>
          <w:p>
            <w:pPr>
              <w:pStyle w:val="TableParagraph"/>
              <w:spacing w:before="0"/>
              <w:ind w:left="0"/>
              <w:rPr>
                <w:rFonts w:ascii="Times New Roman"/>
                <w:sz w:val="16"/>
              </w:rPr>
            </w:pPr>
          </w:p>
        </w:tc>
      </w:tr>
      <w:tr>
        <w:trPr>
          <w:trHeight w:val="314" w:hRule="atLeast"/>
        </w:trPr>
        <w:tc>
          <w:tcPr>
            <w:tcW w:w="1680" w:type="dxa"/>
          </w:tcPr>
          <w:p>
            <w:pPr>
              <w:pStyle w:val="TableParagraph"/>
              <w:spacing w:before="56"/>
              <w:rPr>
                <w:sz w:val="18"/>
              </w:rPr>
            </w:pPr>
            <w:r>
              <w:rPr>
                <w:sz w:val="18"/>
              </w:rPr>
              <w:t>4905.91.99</w:t>
            </w:r>
          </w:p>
        </w:tc>
        <w:tc>
          <w:tcPr>
            <w:tcW w:w="4246" w:type="dxa"/>
            <w:gridSpan w:val="3"/>
          </w:tcPr>
          <w:p>
            <w:pPr>
              <w:pStyle w:val="TableParagraph"/>
              <w:spacing w:before="56"/>
              <w:rPr>
                <w:sz w:val="18"/>
              </w:rPr>
            </w:pPr>
            <w:r>
              <w:rPr>
                <w:sz w:val="18"/>
              </w:rPr>
              <w:t>Los demás.</w:t>
            </w:r>
          </w:p>
        </w:tc>
        <w:tc>
          <w:tcPr>
            <w:tcW w:w="3270" w:type="dxa"/>
          </w:tcPr>
          <w:p>
            <w:pPr>
              <w:pStyle w:val="TableParagraph"/>
              <w:spacing w:before="0"/>
              <w:ind w:left="0"/>
              <w:rPr>
                <w:rFonts w:ascii="Times New Roman"/>
                <w:sz w:val="16"/>
              </w:rPr>
            </w:pPr>
          </w:p>
        </w:tc>
      </w:tr>
      <w:tr>
        <w:trPr>
          <w:trHeight w:val="524" w:hRule="atLeast"/>
        </w:trPr>
        <w:tc>
          <w:tcPr>
            <w:tcW w:w="1680" w:type="dxa"/>
          </w:tcPr>
          <w:p>
            <w:pPr>
              <w:pStyle w:val="TableParagraph"/>
              <w:spacing w:before="56"/>
              <w:rPr>
                <w:sz w:val="18"/>
              </w:rPr>
            </w:pPr>
            <w:r>
              <w:rPr>
                <w:sz w:val="18"/>
              </w:rPr>
              <w:t>4905.99.01</w:t>
            </w:r>
          </w:p>
        </w:tc>
        <w:tc>
          <w:tcPr>
            <w:tcW w:w="3057" w:type="dxa"/>
            <w:tcBorders>
              <w:right w:val="nil"/>
            </w:tcBorders>
          </w:tcPr>
          <w:p>
            <w:pPr>
              <w:pStyle w:val="TableParagraph"/>
              <w:spacing w:line="242" w:lineRule="auto" w:before="56"/>
              <w:rPr>
                <w:sz w:val="18"/>
              </w:rPr>
            </w:pPr>
            <w:r>
              <w:rPr>
                <w:sz w:val="18"/>
              </w:rPr>
              <w:t>Cartas geográficas, topográficas mapas murales.</w:t>
            </w:r>
          </w:p>
        </w:tc>
        <w:tc>
          <w:tcPr>
            <w:tcW w:w="293" w:type="dxa"/>
            <w:tcBorders>
              <w:left w:val="nil"/>
              <w:right w:val="nil"/>
            </w:tcBorders>
          </w:tcPr>
          <w:p>
            <w:pPr>
              <w:pStyle w:val="TableParagraph"/>
              <w:spacing w:before="56"/>
              <w:ind w:left="13"/>
              <w:jc w:val="center"/>
              <w:rPr>
                <w:sz w:val="18"/>
              </w:rPr>
            </w:pPr>
            <w:r>
              <w:rPr>
                <w:sz w:val="18"/>
              </w:rPr>
              <w:t>o</w:t>
            </w:r>
          </w:p>
        </w:tc>
        <w:tc>
          <w:tcPr>
            <w:tcW w:w="896" w:type="dxa"/>
            <w:tcBorders>
              <w:left w:val="nil"/>
            </w:tcBorders>
          </w:tcPr>
          <w:p>
            <w:pPr>
              <w:pStyle w:val="TableParagraph"/>
              <w:spacing w:before="56"/>
              <w:ind w:left="82" w:right="45"/>
              <w:jc w:val="center"/>
              <w:rPr>
                <w:sz w:val="18"/>
              </w:rPr>
            </w:pPr>
            <w:r>
              <w:rPr>
                <w:sz w:val="18"/>
              </w:rPr>
              <w:t>náuticas;</w:t>
            </w:r>
          </w:p>
        </w:tc>
        <w:tc>
          <w:tcPr>
            <w:tcW w:w="3270" w:type="dxa"/>
          </w:tcPr>
          <w:p>
            <w:pPr>
              <w:pStyle w:val="TableParagraph"/>
              <w:spacing w:before="0"/>
              <w:ind w:left="0"/>
              <w:rPr>
                <w:rFonts w:ascii="Times New Roman"/>
                <w:sz w:val="16"/>
              </w:rPr>
            </w:pPr>
          </w:p>
        </w:tc>
      </w:tr>
      <w:tr>
        <w:trPr>
          <w:trHeight w:val="314" w:hRule="atLeast"/>
        </w:trPr>
        <w:tc>
          <w:tcPr>
            <w:tcW w:w="1680" w:type="dxa"/>
          </w:tcPr>
          <w:p>
            <w:pPr>
              <w:pStyle w:val="TableParagraph"/>
              <w:spacing w:before="56"/>
              <w:rPr>
                <w:sz w:val="18"/>
              </w:rPr>
            </w:pPr>
            <w:r>
              <w:rPr>
                <w:sz w:val="18"/>
              </w:rPr>
              <w:t>4905.99.99</w:t>
            </w:r>
          </w:p>
        </w:tc>
        <w:tc>
          <w:tcPr>
            <w:tcW w:w="4246" w:type="dxa"/>
            <w:gridSpan w:val="3"/>
          </w:tcPr>
          <w:p>
            <w:pPr>
              <w:pStyle w:val="TableParagraph"/>
              <w:spacing w:before="56"/>
              <w:rPr>
                <w:sz w:val="18"/>
              </w:rPr>
            </w:pPr>
            <w:r>
              <w:rPr>
                <w:sz w:val="18"/>
              </w:rPr>
              <w:t>Los demás.</w:t>
            </w:r>
          </w:p>
        </w:tc>
        <w:tc>
          <w:tcPr>
            <w:tcW w:w="3270" w:type="dxa"/>
          </w:tcPr>
          <w:p>
            <w:pPr>
              <w:pStyle w:val="TableParagraph"/>
              <w:spacing w:before="0"/>
              <w:ind w:left="0"/>
              <w:rPr>
                <w:rFonts w:ascii="Times New Roman"/>
                <w:sz w:val="16"/>
              </w:rPr>
            </w:pPr>
          </w:p>
        </w:tc>
      </w:tr>
      <w:tr>
        <w:trPr>
          <w:trHeight w:val="734" w:hRule="atLeast"/>
        </w:trPr>
        <w:tc>
          <w:tcPr>
            <w:tcW w:w="1680" w:type="dxa"/>
          </w:tcPr>
          <w:p>
            <w:pPr>
              <w:pStyle w:val="TableParagraph"/>
              <w:spacing w:before="56"/>
              <w:rPr>
                <w:sz w:val="18"/>
              </w:rPr>
            </w:pPr>
            <w:r>
              <w:rPr>
                <w:sz w:val="18"/>
              </w:rPr>
              <w:t>4911.91.01</w:t>
            </w:r>
          </w:p>
        </w:tc>
        <w:tc>
          <w:tcPr>
            <w:tcW w:w="4246" w:type="dxa"/>
            <w:gridSpan w:val="3"/>
          </w:tcPr>
          <w:p>
            <w:pPr>
              <w:pStyle w:val="TableParagraph"/>
              <w:spacing w:line="242" w:lineRule="auto" w:before="56"/>
              <w:ind w:right="62"/>
              <w:jc w:val="both"/>
              <w:rPr>
                <w:sz w:val="18"/>
              </w:rPr>
            </w:pPr>
            <w:r>
              <w:rPr>
                <w:sz w:val="18"/>
              </w:rPr>
              <w:t>Estampas, dibujos, fotografías, sobre papel o cartón para la edición de libros o colecciones de carácter educativo o cultural.</w:t>
            </w:r>
          </w:p>
        </w:tc>
        <w:tc>
          <w:tcPr>
            <w:tcW w:w="3270" w:type="dxa"/>
          </w:tcPr>
          <w:p>
            <w:pPr>
              <w:pStyle w:val="TableParagraph"/>
              <w:spacing w:line="242" w:lineRule="auto" w:before="56"/>
              <w:ind w:left="82" w:right="68"/>
              <w:jc w:val="both"/>
              <w:rPr>
                <w:sz w:val="18"/>
              </w:rPr>
            </w:pPr>
            <w:r>
              <w:rPr>
                <w:sz w:val="18"/>
              </w:rPr>
              <w:t>Que contengan escenas o motivos típicos del país de origen pero sin menciones publicitarias</w:t>
            </w:r>
          </w:p>
        </w:tc>
      </w:tr>
      <w:tr>
        <w:trPr>
          <w:trHeight w:val="734" w:hRule="atLeast"/>
        </w:trPr>
        <w:tc>
          <w:tcPr>
            <w:tcW w:w="1680" w:type="dxa"/>
          </w:tcPr>
          <w:p>
            <w:pPr>
              <w:pStyle w:val="TableParagraph"/>
              <w:spacing w:before="56"/>
              <w:rPr>
                <w:sz w:val="18"/>
              </w:rPr>
            </w:pPr>
            <w:r>
              <w:rPr>
                <w:sz w:val="18"/>
              </w:rPr>
              <w:t>4911.91.03</w:t>
            </w:r>
          </w:p>
        </w:tc>
        <w:tc>
          <w:tcPr>
            <w:tcW w:w="4246" w:type="dxa"/>
            <w:gridSpan w:val="3"/>
          </w:tcPr>
          <w:p>
            <w:pPr>
              <w:pStyle w:val="TableParagraph"/>
              <w:spacing w:line="242" w:lineRule="auto" w:before="56"/>
              <w:ind w:right="62"/>
              <w:jc w:val="both"/>
              <w:rPr>
                <w:sz w:val="18"/>
              </w:rPr>
            </w:pPr>
            <w:r>
              <w:rPr>
                <w:sz w:val="18"/>
              </w:rPr>
              <w:t>Terapéutico-pedagógicos, reconocibles como concebidos exclusivamente para instituciones de educación especial o similares.</w:t>
            </w:r>
          </w:p>
        </w:tc>
        <w:tc>
          <w:tcPr>
            <w:tcW w:w="3270" w:type="dxa"/>
          </w:tcPr>
          <w:p>
            <w:pPr>
              <w:pStyle w:val="TableParagraph"/>
              <w:spacing w:line="242" w:lineRule="auto" w:before="56"/>
              <w:ind w:left="82" w:right="68"/>
              <w:jc w:val="both"/>
              <w:rPr>
                <w:sz w:val="18"/>
              </w:rPr>
            </w:pPr>
            <w:r>
              <w:rPr>
                <w:sz w:val="18"/>
              </w:rPr>
              <w:t>Que contengan escenas o motivos típicos del país de origen pero sin menciones publicitarias</w:t>
            </w:r>
          </w:p>
        </w:tc>
      </w:tr>
      <w:tr>
        <w:trPr>
          <w:trHeight w:val="734" w:hRule="atLeast"/>
        </w:trPr>
        <w:tc>
          <w:tcPr>
            <w:tcW w:w="1680" w:type="dxa"/>
          </w:tcPr>
          <w:p>
            <w:pPr>
              <w:pStyle w:val="TableParagraph"/>
              <w:spacing w:before="56"/>
              <w:rPr>
                <w:sz w:val="18"/>
              </w:rPr>
            </w:pPr>
            <w:r>
              <w:rPr>
                <w:sz w:val="18"/>
              </w:rPr>
              <w:t>4911.91.99</w:t>
            </w:r>
          </w:p>
        </w:tc>
        <w:tc>
          <w:tcPr>
            <w:tcW w:w="4246" w:type="dxa"/>
            <w:gridSpan w:val="3"/>
          </w:tcPr>
          <w:p>
            <w:pPr>
              <w:pStyle w:val="TableParagraph"/>
              <w:spacing w:before="56"/>
              <w:rPr>
                <w:sz w:val="18"/>
              </w:rPr>
            </w:pPr>
            <w:r>
              <w:rPr>
                <w:sz w:val="18"/>
              </w:rPr>
              <w:t>Los demás.</w:t>
            </w:r>
          </w:p>
        </w:tc>
        <w:tc>
          <w:tcPr>
            <w:tcW w:w="3270" w:type="dxa"/>
          </w:tcPr>
          <w:p>
            <w:pPr>
              <w:pStyle w:val="TableParagraph"/>
              <w:spacing w:line="242" w:lineRule="auto" w:before="56"/>
              <w:ind w:left="82" w:right="68"/>
              <w:jc w:val="both"/>
              <w:rPr>
                <w:sz w:val="18"/>
              </w:rPr>
            </w:pPr>
            <w:r>
              <w:rPr>
                <w:sz w:val="18"/>
              </w:rPr>
              <w:t>Que contengan escenas o motivos típicos del país de origen pero sin menciones publicitarias</w:t>
            </w:r>
          </w:p>
        </w:tc>
      </w:tr>
      <w:tr>
        <w:trPr>
          <w:trHeight w:val="524" w:hRule="atLeast"/>
        </w:trPr>
        <w:tc>
          <w:tcPr>
            <w:tcW w:w="1680" w:type="dxa"/>
          </w:tcPr>
          <w:p>
            <w:pPr>
              <w:pStyle w:val="TableParagraph"/>
              <w:spacing w:before="56"/>
              <w:rPr>
                <w:sz w:val="18"/>
              </w:rPr>
            </w:pPr>
            <w:r>
              <w:rPr>
                <w:sz w:val="18"/>
              </w:rPr>
              <w:t>8523.29.05</w:t>
            </w:r>
          </w:p>
        </w:tc>
        <w:tc>
          <w:tcPr>
            <w:tcW w:w="4246" w:type="dxa"/>
            <w:gridSpan w:val="3"/>
          </w:tcPr>
          <w:p>
            <w:pPr>
              <w:pStyle w:val="TableParagraph"/>
              <w:spacing w:line="242" w:lineRule="auto" w:before="56"/>
              <w:rPr>
                <w:sz w:val="18"/>
              </w:rPr>
            </w:pPr>
            <w:r>
              <w:rPr>
                <w:sz w:val="18"/>
              </w:rPr>
              <w:t>Cintas magnéticas, grabadas, para reproducir fenómenos distintos del sonido o la imagen.</w:t>
            </w:r>
          </w:p>
        </w:tc>
        <w:tc>
          <w:tcPr>
            <w:tcW w:w="3270" w:type="dxa"/>
          </w:tcPr>
          <w:p>
            <w:pPr>
              <w:pStyle w:val="TableParagraph"/>
              <w:spacing w:before="56"/>
              <w:ind w:left="82"/>
              <w:rPr>
                <w:sz w:val="18"/>
              </w:rPr>
            </w:pPr>
            <w:r>
              <w:rPr>
                <w:sz w:val="18"/>
              </w:rPr>
              <w:t>Con métodos de enseñanza</w:t>
            </w:r>
          </w:p>
        </w:tc>
      </w:tr>
    </w:tbl>
    <w:p>
      <w:pPr>
        <w:pStyle w:val="BodyText"/>
        <w:rPr>
          <w:b/>
          <w:sz w:val="20"/>
        </w:rPr>
      </w:pPr>
    </w:p>
    <w:p>
      <w:pPr>
        <w:pStyle w:val="BodyText"/>
        <w:spacing w:before="8"/>
        <w:rPr>
          <w:b/>
          <w:sz w:val="21"/>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80"/>
        <w:gridCol w:w="4245"/>
        <w:gridCol w:w="3270"/>
      </w:tblGrid>
      <w:tr>
        <w:trPr>
          <w:trHeight w:val="1334" w:hRule="atLeast"/>
        </w:trPr>
        <w:tc>
          <w:tcPr>
            <w:tcW w:w="1680" w:type="dxa"/>
          </w:tcPr>
          <w:p>
            <w:pPr>
              <w:pStyle w:val="TableParagraph"/>
              <w:rPr>
                <w:sz w:val="18"/>
              </w:rPr>
            </w:pPr>
            <w:r>
              <w:rPr>
                <w:sz w:val="18"/>
              </w:rPr>
              <w:t>8523.29.07</w:t>
            </w:r>
          </w:p>
        </w:tc>
        <w:tc>
          <w:tcPr>
            <w:tcW w:w="4245" w:type="dxa"/>
          </w:tcPr>
          <w:p>
            <w:pPr>
              <w:pStyle w:val="TableParagraph"/>
              <w:spacing w:line="242" w:lineRule="auto"/>
              <w:ind w:right="62"/>
              <w:jc w:val="both"/>
              <w:rPr>
                <w:sz w:val="18"/>
              </w:rPr>
            </w:pPr>
            <w:r>
              <w:rPr>
                <w:sz w:val="18"/>
              </w:rPr>
              <w:t>Cintas magnéticas grabadas, para la enseñanza, con sonido o imágenes, técnicas, científicas o con fines culturales, reconocibles como concebidas exclusivamente para instituciones de educación o similares.</w:t>
            </w:r>
          </w:p>
        </w:tc>
        <w:tc>
          <w:tcPr>
            <w:tcW w:w="3270" w:type="dxa"/>
          </w:tcPr>
          <w:p>
            <w:pPr>
              <w:pStyle w:val="TableParagraph"/>
              <w:spacing w:line="242" w:lineRule="auto"/>
              <w:ind w:right="62"/>
              <w:jc w:val="both"/>
              <w:rPr>
                <w:sz w:val="18"/>
              </w:rPr>
            </w:pPr>
            <w:r>
              <w:rPr>
                <w:sz w:val="18"/>
              </w:rPr>
              <w:t>Cintas grabadas en el país de origen, con imágenes y sonido ("video casettes"), exclusivamente educativas y científicas, sin contenido publicitario, de anchura superior a 6.5 mm</w:t>
            </w:r>
          </w:p>
        </w:tc>
      </w:tr>
      <w:tr>
        <w:trPr>
          <w:trHeight w:val="944" w:hRule="atLeast"/>
        </w:trPr>
        <w:tc>
          <w:tcPr>
            <w:tcW w:w="1680" w:type="dxa"/>
          </w:tcPr>
          <w:p>
            <w:pPr>
              <w:pStyle w:val="TableParagraph"/>
              <w:rPr>
                <w:sz w:val="18"/>
              </w:rPr>
            </w:pPr>
            <w:r>
              <w:rPr>
                <w:sz w:val="18"/>
              </w:rPr>
              <w:t>8523.29.08</w:t>
            </w:r>
          </w:p>
        </w:tc>
        <w:tc>
          <w:tcPr>
            <w:tcW w:w="4245" w:type="dxa"/>
          </w:tcPr>
          <w:p>
            <w:pPr>
              <w:pStyle w:val="TableParagraph"/>
              <w:spacing w:line="242" w:lineRule="auto"/>
              <w:ind w:right="62"/>
              <w:jc w:val="both"/>
              <w:rPr>
                <w:sz w:val="18"/>
              </w:rPr>
            </w:pPr>
            <w:r>
              <w:rPr>
                <w:sz w:val="18"/>
              </w:rPr>
              <w:t>Cintas magnéticas grabadas, reconocibles como concebidas exclusivamente para ser utilizadas en "video tape", excepto cuando se presenten en cartuchos o casetes.</w:t>
            </w:r>
          </w:p>
        </w:tc>
        <w:tc>
          <w:tcPr>
            <w:tcW w:w="3270" w:type="dxa"/>
          </w:tcPr>
          <w:p>
            <w:pPr>
              <w:pStyle w:val="TableParagraph"/>
              <w:spacing w:before="0"/>
              <w:ind w:left="0"/>
              <w:rPr>
                <w:rFonts w:ascii="Times New Roman"/>
                <w:sz w:val="16"/>
              </w:rPr>
            </w:pPr>
          </w:p>
        </w:tc>
      </w:tr>
      <w:tr>
        <w:trPr>
          <w:trHeight w:val="314" w:hRule="atLeast"/>
        </w:trPr>
        <w:tc>
          <w:tcPr>
            <w:tcW w:w="1680" w:type="dxa"/>
          </w:tcPr>
          <w:p>
            <w:pPr>
              <w:pStyle w:val="TableParagraph"/>
              <w:rPr>
                <w:sz w:val="18"/>
              </w:rPr>
            </w:pPr>
            <w:r>
              <w:rPr>
                <w:sz w:val="18"/>
              </w:rPr>
              <w:t>8523.29.09</w:t>
            </w:r>
          </w:p>
        </w:tc>
        <w:tc>
          <w:tcPr>
            <w:tcW w:w="4245" w:type="dxa"/>
          </w:tcPr>
          <w:p>
            <w:pPr>
              <w:pStyle w:val="TableParagraph"/>
              <w:rPr>
                <w:sz w:val="18"/>
              </w:rPr>
            </w:pPr>
            <w:r>
              <w:rPr>
                <w:sz w:val="18"/>
              </w:rPr>
              <w:t>Las demás cintas magnéticas grabadas.</w:t>
            </w:r>
          </w:p>
        </w:tc>
        <w:tc>
          <w:tcPr>
            <w:tcW w:w="3270" w:type="dxa"/>
          </w:tcPr>
          <w:p>
            <w:pPr>
              <w:pStyle w:val="TableParagraph"/>
              <w:rPr>
                <w:sz w:val="18"/>
              </w:rPr>
            </w:pPr>
            <w:r>
              <w:rPr>
                <w:sz w:val="18"/>
              </w:rPr>
              <w:t>Con métodos de enseñanza</w:t>
            </w:r>
          </w:p>
        </w:tc>
      </w:tr>
      <w:tr>
        <w:trPr>
          <w:trHeight w:val="524" w:hRule="atLeast"/>
        </w:trPr>
        <w:tc>
          <w:tcPr>
            <w:tcW w:w="1680" w:type="dxa"/>
          </w:tcPr>
          <w:p>
            <w:pPr>
              <w:pStyle w:val="TableParagraph"/>
              <w:spacing w:before="0"/>
              <w:ind w:left="0"/>
              <w:rPr>
                <w:rFonts w:ascii="Times New Roman"/>
                <w:sz w:val="16"/>
              </w:rPr>
            </w:pPr>
          </w:p>
        </w:tc>
        <w:tc>
          <w:tcPr>
            <w:tcW w:w="4245" w:type="dxa"/>
          </w:tcPr>
          <w:p>
            <w:pPr>
              <w:pStyle w:val="TableParagraph"/>
              <w:spacing w:before="0"/>
              <w:ind w:left="0"/>
              <w:rPr>
                <w:rFonts w:ascii="Times New Roman"/>
                <w:sz w:val="16"/>
              </w:rPr>
            </w:pPr>
          </w:p>
        </w:tc>
        <w:tc>
          <w:tcPr>
            <w:tcW w:w="3270" w:type="dxa"/>
          </w:tcPr>
          <w:p>
            <w:pPr>
              <w:pStyle w:val="TableParagraph"/>
              <w:spacing w:line="242" w:lineRule="auto"/>
              <w:ind w:right="130"/>
              <w:rPr>
                <w:sz w:val="18"/>
              </w:rPr>
            </w:pPr>
            <w:r>
              <w:rPr>
                <w:sz w:val="18"/>
              </w:rPr>
              <w:t>Con música típica o clásica del </w:t>
            </w:r>
            <w:r>
              <w:rPr>
                <w:spacing w:val="-5"/>
                <w:sz w:val="18"/>
              </w:rPr>
              <w:t>país  </w:t>
            </w:r>
            <w:r>
              <w:rPr>
                <w:sz w:val="18"/>
              </w:rPr>
              <w:t>de origen</w:t>
            </w:r>
          </w:p>
        </w:tc>
      </w:tr>
      <w:tr>
        <w:trPr>
          <w:trHeight w:val="210" w:hRule="atLeast"/>
        </w:trPr>
        <w:tc>
          <w:tcPr>
            <w:tcW w:w="1680" w:type="dxa"/>
            <w:tcBorders>
              <w:bottom w:val="nil"/>
            </w:tcBorders>
          </w:tcPr>
          <w:p>
            <w:pPr>
              <w:pStyle w:val="TableParagraph"/>
              <w:spacing w:before="0"/>
              <w:ind w:left="0"/>
              <w:rPr>
                <w:rFonts w:ascii="Times New Roman"/>
                <w:sz w:val="14"/>
              </w:rPr>
            </w:pPr>
          </w:p>
        </w:tc>
        <w:tc>
          <w:tcPr>
            <w:tcW w:w="4245" w:type="dxa"/>
            <w:tcBorders>
              <w:bottom w:val="nil"/>
            </w:tcBorders>
          </w:tcPr>
          <w:p>
            <w:pPr>
              <w:pStyle w:val="TableParagraph"/>
              <w:spacing w:before="0"/>
              <w:ind w:left="0"/>
              <w:rPr>
                <w:rFonts w:ascii="Times New Roman"/>
                <w:sz w:val="14"/>
              </w:rPr>
            </w:pPr>
          </w:p>
        </w:tc>
        <w:tc>
          <w:tcPr>
            <w:tcW w:w="3270" w:type="dxa"/>
            <w:tcBorders>
              <w:bottom w:val="nil"/>
            </w:tcBorders>
          </w:tcPr>
          <w:p>
            <w:pPr>
              <w:pStyle w:val="TableParagraph"/>
              <w:spacing w:before="0"/>
              <w:ind w:left="0"/>
              <w:rPr>
                <w:rFonts w:ascii="Times New Roman"/>
                <w:sz w:val="14"/>
              </w:rPr>
            </w:pPr>
          </w:p>
        </w:tc>
      </w:tr>
    </w:tbl>
    <w:p>
      <w:pPr>
        <w:spacing w:after="0"/>
        <w:rPr>
          <w:rFonts w:ascii="Times New Roman"/>
          <w:sz w:val="14"/>
        </w:rPr>
        <w:sectPr>
          <w:pgSz w:w="12240" w:h="15840"/>
          <w:pgMar w:header="274" w:footer="280" w:top="480" w:bottom="480" w:left="880" w:right="700"/>
        </w:sectPr>
      </w:pPr>
    </w:p>
    <w:p>
      <w:pPr>
        <w:pStyle w:val="BodyText"/>
        <w:spacing w:before="11"/>
        <w:rPr>
          <w:b/>
          <w:sz w:val="6"/>
        </w:rPr>
      </w:pPr>
    </w:p>
    <w:tbl>
      <w:tblPr>
        <w:tblW w:w="0" w:type="auto"/>
        <w:jc w:val="left"/>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80"/>
        <w:gridCol w:w="4245"/>
        <w:gridCol w:w="3270"/>
      </w:tblGrid>
      <w:tr>
        <w:trPr>
          <w:trHeight w:val="270" w:hRule="atLeast"/>
        </w:trPr>
        <w:tc>
          <w:tcPr>
            <w:tcW w:w="1680" w:type="dxa"/>
            <w:tcBorders>
              <w:top w:val="nil"/>
            </w:tcBorders>
          </w:tcPr>
          <w:p>
            <w:pPr>
              <w:pStyle w:val="TableParagraph"/>
              <w:spacing w:line="203" w:lineRule="exact" w:before="0"/>
              <w:rPr>
                <w:sz w:val="18"/>
              </w:rPr>
            </w:pPr>
            <w:r>
              <w:rPr>
                <w:sz w:val="18"/>
              </w:rPr>
              <w:t>8523.80.99</w:t>
            </w:r>
          </w:p>
        </w:tc>
        <w:tc>
          <w:tcPr>
            <w:tcW w:w="4245" w:type="dxa"/>
            <w:tcBorders>
              <w:top w:val="nil"/>
            </w:tcBorders>
          </w:tcPr>
          <w:p>
            <w:pPr>
              <w:pStyle w:val="TableParagraph"/>
              <w:spacing w:line="203" w:lineRule="exact" w:before="0"/>
              <w:rPr>
                <w:sz w:val="18"/>
              </w:rPr>
            </w:pPr>
            <w:r>
              <w:rPr>
                <w:sz w:val="18"/>
              </w:rPr>
              <w:t>Los demás.</w:t>
            </w:r>
          </w:p>
        </w:tc>
        <w:tc>
          <w:tcPr>
            <w:tcW w:w="3270" w:type="dxa"/>
            <w:tcBorders>
              <w:top w:val="nil"/>
            </w:tcBorders>
          </w:tcPr>
          <w:p>
            <w:pPr>
              <w:pStyle w:val="TableParagraph"/>
              <w:spacing w:line="203" w:lineRule="exact" w:before="0"/>
              <w:rPr>
                <w:sz w:val="18"/>
              </w:rPr>
            </w:pPr>
            <w:r>
              <w:rPr>
                <w:sz w:val="18"/>
              </w:rPr>
              <w:t>Discos para tocadiscos de enseñanza</w:t>
            </w:r>
          </w:p>
        </w:tc>
      </w:tr>
      <w:tr>
        <w:trPr>
          <w:trHeight w:val="524" w:hRule="atLeast"/>
        </w:trPr>
        <w:tc>
          <w:tcPr>
            <w:tcW w:w="1680" w:type="dxa"/>
          </w:tcPr>
          <w:p>
            <w:pPr>
              <w:pStyle w:val="TableParagraph"/>
              <w:spacing w:before="0"/>
              <w:ind w:left="0"/>
              <w:rPr>
                <w:rFonts w:ascii="Times New Roman"/>
                <w:sz w:val="16"/>
              </w:rPr>
            </w:pPr>
          </w:p>
        </w:tc>
        <w:tc>
          <w:tcPr>
            <w:tcW w:w="4245" w:type="dxa"/>
          </w:tcPr>
          <w:p>
            <w:pPr>
              <w:pStyle w:val="TableParagraph"/>
              <w:spacing w:before="0"/>
              <w:ind w:left="0"/>
              <w:rPr>
                <w:rFonts w:ascii="Times New Roman"/>
                <w:sz w:val="16"/>
              </w:rPr>
            </w:pPr>
          </w:p>
        </w:tc>
        <w:tc>
          <w:tcPr>
            <w:tcW w:w="3270" w:type="dxa"/>
          </w:tcPr>
          <w:p>
            <w:pPr>
              <w:pStyle w:val="TableParagraph"/>
              <w:spacing w:line="242" w:lineRule="auto"/>
              <w:rPr>
                <w:sz w:val="18"/>
              </w:rPr>
            </w:pPr>
            <w:r>
              <w:rPr>
                <w:sz w:val="18"/>
              </w:rPr>
              <w:t>Discos para tocadiscos con música típica o clásica del país de origen</w:t>
            </w:r>
          </w:p>
        </w:tc>
      </w:tr>
      <w:tr>
        <w:trPr>
          <w:trHeight w:val="314" w:hRule="atLeast"/>
        </w:trPr>
        <w:tc>
          <w:tcPr>
            <w:tcW w:w="1680" w:type="dxa"/>
          </w:tcPr>
          <w:p>
            <w:pPr>
              <w:pStyle w:val="TableParagraph"/>
              <w:rPr>
                <w:sz w:val="18"/>
              </w:rPr>
            </w:pPr>
            <w:r>
              <w:rPr>
                <w:sz w:val="18"/>
              </w:rPr>
              <w:t>9701.10.01</w:t>
            </w:r>
          </w:p>
        </w:tc>
        <w:tc>
          <w:tcPr>
            <w:tcW w:w="4245" w:type="dxa"/>
          </w:tcPr>
          <w:p>
            <w:pPr>
              <w:pStyle w:val="TableParagraph"/>
              <w:rPr>
                <w:sz w:val="18"/>
              </w:rPr>
            </w:pPr>
            <w:r>
              <w:rPr>
                <w:sz w:val="18"/>
              </w:rPr>
              <w:t>Pinturas y dibujos.</w:t>
            </w:r>
          </w:p>
        </w:tc>
        <w:tc>
          <w:tcPr>
            <w:tcW w:w="3270" w:type="dxa"/>
          </w:tcPr>
          <w:p>
            <w:pPr>
              <w:pStyle w:val="TableParagraph"/>
              <w:rPr>
                <w:sz w:val="18"/>
              </w:rPr>
            </w:pPr>
            <w:r>
              <w:rPr>
                <w:sz w:val="18"/>
              </w:rPr>
              <w:t>De artistas nacionales vivientes</w:t>
            </w:r>
          </w:p>
        </w:tc>
      </w:tr>
      <w:tr>
        <w:trPr>
          <w:trHeight w:val="314" w:hRule="atLeast"/>
        </w:trPr>
        <w:tc>
          <w:tcPr>
            <w:tcW w:w="1680" w:type="dxa"/>
          </w:tcPr>
          <w:p>
            <w:pPr>
              <w:pStyle w:val="TableParagraph"/>
              <w:rPr>
                <w:sz w:val="18"/>
              </w:rPr>
            </w:pPr>
            <w:r>
              <w:rPr>
                <w:sz w:val="18"/>
              </w:rPr>
              <w:t>9702.00.01</w:t>
            </w:r>
          </w:p>
        </w:tc>
        <w:tc>
          <w:tcPr>
            <w:tcW w:w="4245" w:type="dxa"/>
          </w:tcPr>
          <w:p>
            <w:pPr>
              <w:pStyle w:val="TableParagraph"/>
              <w:rPr>
                <w:sz w:val="18"/>
              </w:rPr>
            </w:pPr>
            <w:r>
              <w:rPr>
                <w:sz w:val="18"/>
              </w:rPr>
              <w:t>Grabados, estampas y litografías originales.</w:t>
            </w:r>
          </w:p>
        </w:tc>
        <w:tc>
          <w:tcPr>
            <w:tcW w:w="3270" w:type="dxa"/>
          </w:tcPr>
          <w:p>
            <w:pPr>
              <w:pStyle w:val="TableParagraph"/>
              <w:rPr>
                <w:sz w:val="18"/>
              </w:rPr>
            </w:pPr>
            <w:r>
              <w:rPr>
                <w:sz w:val="18"/>
              </w:rPr>
              <w:t>De artistas nacionales vivientes</w:t>
            </w:r>
          </w:p>
        </w:tc>
      </w:tr>
      <w:tr>
        <w:trPr>
          <w:trHeight w:val="524" w:hRule="atLeast"/>
        </w:trPr>
        <w:tc>
          <w:tcPr>
            <w:tcW w:w="1680" w:type="dxa"/>
          </w:tcPr>
          <w:p>
            <w:pPr>
              <w:pStyle w:val="TableParagraph"/>
              <w:rPr>
                <w:sz w:val="18"/>
              </w:rPr>
            </w:pPr>
            <w:r>
              <w:rPr>
                <w:sz w:val="18"/>
              </w:rPr>
              <w:t>9703.00.01</w:t>
            </w:r>
          </w:p>
        </w:tc>
        <w:tc>
          <w:tcPr>
            <w:tcW w:w="4245" w:type="dxa"/>
          </w:tcPr>
          <w:p>
            <w:pPr>
              <w:pStyle w:val="TableParagraph"/>
              <w:spacing w:line="242" w:lineRule="auto"/>
              <w:rPr>
                <w:sz w:val="18"/>
              </w:rPr>
            </w:pPr>
            <w:r>
              <w:rPr>
                <w:sz w:val="18"/>
              </w:rPr>
              <w:t>Obras originales de estatuaria o escultura, de cualquier materia.</w:t>
            </w:r>
          </w:p>
        </w:tc>
        <w:tc>
          <w:tcPr>
            <w:tcW w:w="3270" w:type="dxa"/>
          </w:tcPr>
          <w:p>
            <w:pPr>
              <w:pStyle w:val="TableParagraph"/>
              <w:rPr>
                <w:sz w:val="18"/>
              </w:rPr>
            </w:pPr>
            <w:r>
              <w:rPr>
                <w:sz w:val="18"/>
              </w:rPr>
              <w:t>De artistas nacionales vivientes</w:t>
            </w:r>
          </w:p>
        </w:tc>
      </w:tr>
      <w:tr>
        <w:trPr>
          <w:trHeight w:val="1154" w:hRule="atLeast"/>
        </w:trPr>
        <w:tc>
          <w:tcPr>
            <w:tcW w:w="1680" w:type="dxa"/>
          </w:tcPr>
          <w:p>
            <w:pPr>
              <w:pStyle w:val="TableParagraph"/>
              <w:rPr>
                <w:sz w:val="18"/>
              </w:rPr>
            </w:pPr>
            <w:r>
              <w:rPr>
                <w:sz w:val="18"/>
              </w:rPr>
              <w:t>9704.00.02</w:t>
            </w:r>
          </w:p>
        </w:tc>
        <w:tc>
          <w:tcPr>
            <w:tcW w:w="4245" w:type="dxa"/>
          </w:tcPr>
          <w:p>
            <w:pPr>
              <w:pStyle w:val="TableParagraph"/>
              <w:spacing w:line="242" w:lineRule="auto"/>
              <w:ind w:right="62"/>
              <w:jc w:val="both"/>
              <w:rPr>
                <w:sz w:val="18"/>
              </w:rPr>
            </w:pPr>
            <w:r>
              <w:rPr>
                <w:sz w:val="18"/>
              </w:rPr>
              <w:t>Sellos (estampillas) de correo, timbres fiscales, marcas postales, sobres primer día, enteros postales, demás artículos franqueados y análogos, incluso obliterados, excepto los artículos de la partida 49.07.</w:t>
            </w:r>
          </w:p>
        </w:tc>
        <w:tc>
          <w:tcPr>
            <w:tcW w:w="3270" w:type="dxa"/>
          </w:tcPr>
          <w:p>
            <w:pPr>
              <w:pStyle w:val="TableParagraph"/>
              <w:spacing w:before="0"/>
              <w:ind w:left="0"/>
              <w:rPr>
                <w:rFonts w:ascii="Times New Roman"/>
                <w:sz w:val="16"/>
              </w:rPr>
            </w:pPr>
          </w:p>
        </w:tc>
      </w:tr>
      <w:tr>
        <w:trPr>
          <w:trHeight w:val="944" w:hRule="atLeast"/>
        </w:trPr>
        <w:tc>
          <w:tcPr>
            <w:tcW w:w="1680" w:type="dxa"/>
          </w:tcPr>
          <w:p>
            <w:pPr>
              <w:pStyle w:val="TableParagraph"/>
              <w:rPr>
                <w:sz w:val="18"/>
              </w:rPr>
            </w:pPr>
            <w:r>
              <w:rPr>
                <w:sz w:val="18"/>
              </w:rPr>
              <w:t>9705.00.05</w:t>
            </w:r>
          </w:p>
        </w:tc>
        <w:tc>
          <w:tcPr>
            <w:tcW w:w="4245" w:type="dxa"/>
          </w:tcPr>
          <w:p>
            <w:pPr>
              <w:pStyle w:val="TableParagraph"/>
              <w:spacing w:line="242" w:lineRule="auto"/>
              <w:ind w:right="61"/>
              <w:jc w:val="both"/>
              <w:rPr>
                <w:sz w:val="18"/>
              </w:rPr>
            </w:pPr>
            <w:r>
              <w:rPr>
                <w:sz w:val="18"/>
              </w:rPr>
              <w:t>Bienes que hayan sido declarados monumentos arqueológicos por la Secretaría de Educación Pública.</w:t>
            </w:r>
          </w:p>
        </w:tc>
        <w:tc>
          <w:tcPr>
            <w:tcW w:w="3270" w:type="dxa"/>
          </w:tcPr>
          <w:p>
            <w:pPr>
              <w:pStyle w:val="TableParagraph"/>
              <w:spacing w:line="242" w:lineRule="auto"/>
              <w:ind w:right="57"/>
              <w:jc w:val="both"/>
              <w:rPr>
                <w:sz w:val="18"/>
              </w:rPr>
            </w:pPr>
            <w:r>
              <w:rPr>
                <w:sz w:val="18"/>
              </w:rPr>
              <w:t>El país de origen podrá regular sus exportaciones por motivos de defensa o preservación del patrimonio histórico</w:t>
            </w:r>
          </w:p>
          <w:p>
            <w:pPr>
              <w:pStyle w:val="TableParagraph"/>
              <w:spacing w:before="3"/>
              <w:jc w:val="both"/>
              <w:rPr>
                <w:sz w:val="18"/>
              </w:rPr>
            </w:pPr>
            <w:r>
              <w:rPr>
                <w:sz w:val="18"/>
              </w:rPr>
              <w:t>o artístico</w:t>
            </w:r>
          </w:p>
        </w:tc>
      </w:tr>
      <w:tr>
        <w:trPr>
          <w:trHeight w:val="944" w:hRule="atLeast"/>
        </w:trPr>
        <w:tc>
          <w:tcPr>
            <w:tcW w:w="1680" w:type="dxa"/>
          </w:tcPr>
          <w:p>
            <w:pPr>
              <w:pStyle w:val="TableParagraph"/>
              <w:rPr>
                <w:sz w:val="18"/>
              </w:rPr>
            </w:pPr>
            <w:r>
              <w:rPr>
                <w:sz w:val="18"/>
              </w:rPr>
              <w:t>9705.00.06</w:t>
            </w:r>
          </w:p>
        </w:tc>
        <w:tc>
          <w:tcPr>
            <w:tcW w:w="4245" w:type="dxa"/>
          </w:tcPr>
          <w:p>
            <w:pPr>
              <w:pStyle w:val="TableParagraph"/>
              <w:spacing w:line="242" w:lineRule="auto"/>
              <w:ind w:right="61"/>
              <w:jc w:val="both"/>
              <w:rPr>
                <w:sz w:val="18"/>
              </w:rPr>
            </w:pPr>
            <w:r>
              <w:rPr>
                <w:sz w:val="18"/>
              </w:rPr>
              <w:t>Objetos de interés histórico, paleontológico o etnográfico, que no hayan sido declarados monumentos arqueológicos o históricos por la Secretaría de Educación Pública.</w:t>
            </w:r>
          </w:p>
        </w:tc>
        <w:tc>
          <w:tcPr>
            <w:tcW w:w="3270" w:type="dxa"/>
          </w:tcPr>
          <w:p>
            <w:pPr>
              <w:pStyle w:val="TableParagraph"/>
              <w:spacing w:line="242" w:lineRule="auto"/>
              <w:ind w:right="57"/>
              <w:jc w:val="both"/>
              <w:rPr>
                <w:sz w:val="18"/>
              </w:rPr>
            </w:pPr>
            <w:r>
              <w:rPr>
                <w:sz w:val="18"/>
              </w:rPr>
              <w:t>El país de origen podrá regular sus exportaciones por motivos de defensa o preservación del patrimonio histórico</w:t>
            </w:r>
          </w:p>
          <w:p>
            <w:pPr>
              <w:pStyle w:val="TableParagraph"/>
              <w:spacing w:before="3"/>
              <w:jc w:val="both"/>
              <w:rPr>
                <w:sz w:val="18"/>
              </w:rPr>
            </w:pPr>
            <w:r>
              <w:rPr>
                <w:sz w:val="18"/>
              </w:rPr>
              <w:t>o artístico</w:t>
            </w:r>
          </w:p>
        </w:tc>
      </w:tr>
      <w:tr>
        <w:trPr>
          <w:trHeight w:val="944" w:hRule="atLeast"/>
        </w:trPr>
        <w:tc>
          <w:tcPr>
            <w:tcW w:w="1680" w:type="dxa"/>
          </w:tcPr>
          <w:p>
            <w:pPr>
              <w:pStyle w:val="TableParagraph"/>
              <w:rPr>
                <w:sz w:val="18"/>
              </w:rPr>
            </w:pPr>
            <w:r>
              <w:rPr>
                <w:sz w:val="18"/>
              </w:rPr>
              <w:t>9705.00.99</w:t>
            </w:r>
          </w:p>
        </w:tc>
        <w:tc>
          <w:tcPr>
            <w:tcW w:w="4245" w:type="dxa"/>
          </w:tcPr>
          <w:p>
            <w:pPr>
              <w:pStyle w:val="TableParagraph"/>
              <w:rPr>
                <w:sz w:val="18"/>
              </w:rPr>
            </w:pPr>
            <w:r>
              <w:rPr>
                <w:sz w:val="18"/>
              </w:rPr>
              <w:t>Los demás.</w:t>
            </w:r>
          </w:p>
        </w:tc>
        <w:tc>
          <w:tcPr>
            <w:tcW w:w="3270" w:type="dxa"/>
          </w:tcPr>
          <w:p>
            <w:pPr>
              <w:pStyle w:val="TableParagraph"/>
              <w:spacing w:line="242" w:lineRule="auto"/>
              <w:ind w:right="57"/>
              <w:jc w:val="both"/>
              <w:rPr>
                <w:sz w:val="18"/>
              </w:rPr>
            </w:pPr>
            <w:r>
              <w:rPr>
                <w:sz w:val="18"/>
              </w:rPr>
              <w:t>El país de origen podrá regular sus exportaciones por motivos de defensa o preservación del patrimonio histórico</w:t>
            </w:r>
          </w:p>
          <w:p>
            <w:pPr>
              <w:pStyle w:val="TableParagraph"/>
              <w:spacing w:before="3"/>
              <w:jc w:val="both"/>
              <w:rPr>
                <w:sz w:val="18"/>
              </w:rPr>
            </w:pPr>
            <w:r>
              <w:rPr>
                <w:sz w:val="18"/>
              </w:rPr>
              <w:t>o artístico</w:t>
            </w:r>
          </w:p>
        </w:tc>
      </w:tr>
      <w:tr>
        <w:trPr>
          <w:trHeight w:val="944" w:hRule="atLeast"/>
        </w:trPr>
        <w:tc>
          <w:tcPr>
            <w:tcW w:w="1680" w:type="dxa"/>
          </w:tcPr>
          <w:p>
            <w:pPr>
              <w:pStyle w:val="TableParagraph"/>
              <w:rPr>
                <w:sz w:val="18"/>
              </w:rPr>
            </w:pPr>
            <w:r>
              <w:rPr>
                <w:sz w:val="18"/>
              </w:rPr>
              <w:t>9706.00.01</w:t>
            </w:r>
          </w:p>
        </w:tc>
        <w:tc>
          <w:tcPr>
            <w:tcW w:w="4245" w:type="dxa"/>
          </w:tcPr>
          <w:p>
            <w:pPr>
              <w:pStyle w:val="TableParagraph"/>
              <w:rPr>
                <w:sz w:val="18"/>
              </w:rPr>
            </w:pPr>
            <w:r>
              <w:rPr>
                <w:sz w:val="18"/>
              </w:rPr>
              <w:t>Antigüedades de más de cien años.</w:t>
            </w:r>
          </w:p>
        </w:tc>
        <w:tc>
          <w:tcPr>
            <w:tcW w:w="3270" w:type="dxa"/>
          </w:tcPr>
          <w:p>
            <w:pPr>
              <w:pStyle w:val="TableParagraph"/>
              <w:spacing w:line="242" w:lineRule="auto"/>
              <w:ind w:right="67"/>
              <w:jc w:val="both"/>
              <w:rPr>
                <w:sz w:val="18"/>
              </w:rPr>
            </w:pPr>
            <w:r>
              <w:rPr>
                <w:sz w:val="18"/>
              </w:rPr>
              <w:t>El país de origen podrá regular o prohibir sus exportaciones por motivos de defensa o preservación del patrimonio histórico o artístico</w:t>
            </w:r>
          </w:p>
        </w:tc>
      </w:tr>
    </w:tbl>
    <w:p>
      <w:pPr>
        <w:pStyle w:val="BodyText"/>
        <w:spacing w:before="7"/>
        <w:rPr>
          <w:b/>
          <w:sz w:val="17"/>
        </w:rPr>
      </w:pPr>
    </w:p>
    <w:p>
      <w:pPr>
        <w:pStyle w:val="BodyText"/>
        <w:spacing w:line="242" w:lineRule="auto" w:before="94"/>
        <w:ind w:left="112" w:right="130" w:firstLine="287"/>
        <w:jc w:val="both"/>
      </w:pPr>
      <w:r>
        <w:rPr>
          <w:b/>
          <w:color w:val="2E2E2E"/>
        </w:rPr>
        <w:t>Segundo.- </w:t>
      </w:r>
      <w:r>
        <w:rPr>
          <w:color w:val="2E2E2E"/>
        </w:rPr>
        <w:t>Lo dispuesto en el presente Acuerdo no libera del cumplimiento de medidas de regulación y restricción no arancelarias en términos de lo dispuesto en los tratados de libre comercio celebrados por México, la Ley de Comercio Exterior, la Ley Aduanera y las demás disposiciones aplicables.</w:t>
      </w:r>
    </w:p>
    <w:p>
      <w:pPr>
        <w:pStyle w:val="Heading1"/>
        <w:spacing w:before="108"/>
        <w:rPr>
          <w:rFonts w:ascii="Times New Roman"/>
        </w:rPr>
      </w:pPr>
      <w:r>
        <w:rPr>
          <w:rFonts w:ascii="Times New Roman"/>
          <w:color w:val="2E2E2E"/>
        </w:rPr>
        <w:t>TRANSITORIOS</w:t>
      </w:r>
    </w:p>
    <w:p>
      <w:pPr>
        <w:pStyle w:val="BodyText"/>
        <w:spacing w:before="123"/>
        <w:ind w:left="400"/>
        <w:jc w:val="both"/>
      </w:pPr>
      <w:r>
        <w:rPr>
          <w:b/>
          <w:color w:val="2E2E2E"/>
        </w:rPr>
        <w:t>PRIMERO.- </w:t>
      </w:r>
      <w:r>
        <w:rPr>
          <w:color w:val="2E2E2E"/>
        </w:rPr>
        <w:t>El presente Acuerdo entrará en vigor el 28 de diciembre de 2020.</w:t>
      </w:r>
    </w:p>
    <w:p>
      <w:pPr>
        <w:pStyle w:val="BodyText"/>
        <w:spacing w:line="242" w:lineRule="auto" w:before="108"/>
        <w:ind w:left="112" w:right="130" w:firstLine="287"/>
        <w:jc w:val="both"/>
      </w:pPr>
      <w:r>
        <w:rPr>
          <w:b/>
          <w:color w:val="2E2E2E"/>
        </w:rPr>
        <w:t>SEGUNDO.- </w:t>
      </w:r>
      <w:r>
        <w:rPr>
          <w:color w:val="2E2E2E"/>
        </w:rPr>
        <w:t>Se abroga el Acuerdo por el que se dan a conocer las preferencias arancelarias del Acuerdo Regional No. 7 de Cooperación e Intercambio de Bienes en las Áreas Cultural, Educacional y Científica, publicado en el Diario Oficial de la Federación el 29 de junio de 2012.</w:t>
      </w:r>
    </w:p>
    <w:p>
      <w:pPr>
        <w:spacing w:before="93"/>
        <w:ind w:left="400" w:right="0" w:firstLine="0"/>
        <w:jc w:val="both"/>
        <w:rPr>
          <w:sz w:val="18"/>
        </w:rPr>
      </w:pPr>
      <w:r>
        <w:rPr>
          <w:color w:val="2E2E2E"/>
          <w:sz w:val="18"/>
        </w:rPr>
        <w:t>Ciudad de México, a 24 de diciembre de 2020.- La Secretaria de Economía, </w:t>
      </w:r>
      <w:r>
        <w:rPr>
          <w:b/>
          <w:color w:val="2E2E2E"/>
          <w:sz w:val="18"/>
        </w:rPr>
        <w:t>Graciela Márquez Colín</w:t>
      </w:r>
      <w:r>
        <w:rPr>
          <w:color w:val="2E2E2E"/>
          <w:sz w:val="18"/>
        </w:rPr>
        <w:t>.- Rúbrica.</w:t>
      </w:r>
    </w:p>
    <w:sectPr>
      <w:pgSz w:w="12240" w:h="15840"/>
      <w:pgMar w:header="274" w:footer="280" w:top="480" w:bottom="480" w:left="8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53127pt;margin-top:766.757813pt;width:318.95pt;height:10.95pt;mso-position-horizontal-relative:page;mso-position-vertical-relative:page;z-index:-16089088" type="#_x0000_t202" filled="false" stroked="false">
          <v:textbox inset="0,0,0,0">
            <w:txbxContent>
              <w:p>
                <w:pPr>
                  <w:spacing w:before="14"/>
                  <w:ind w:left="20" w:right="0" w:firstLine="0"/>
                  <w:jc w:val="left"/>
                  <w:rPr>
                    <w:sz w:val="16"/>
                  </w:rPr>
                </w:pPr>
                <w:r>
                  <w:rPr>
                    <w:sz w:val="16"/>
                  </w:rPr>
                  <w:t>https://www.dof.gob.mx/nota_detalle.php?codigo=5608876&amp;fecha=27/12/2020&amp;print=true</w:t>
                </w:r>
              </w:p>
            </w:txbxContent>
          </v:textbox>
          <w10:wrap type="none"/>
        </v:shape>
      </w:pict>
    </w:r>
    <w:r>
      <w:rPr/>
      <w:pict>
        <v:shape style="position:absolute;margin-left:571.40625pt;margin-top:766.757813pt;width:15.15pt;height:10.95pt;mso-position-horizontal-relative:page;mso-position-vertical-relative:page;z-index:-16088576" type="#_x0000_t202" filled="false" stroked="false">
          <v:textbox inset="0,0,0,0">
            <w:txbxContent>
              <w:p>
                <w:pPr>
                  <w:spacing w:before="14"/>
                  <w:ind w:left="60" w:right="0" w:firstLine="0"/>
                  <w:jc w:val="left"/>
                  <w:rPr>
                    <w:sz w:val="16"/>
                  </w:rPr>
                </w:pPr>
                <w:r>
                  <w:rPr/>
                  <w:fldChar w:fldCharType="begin"/>
                </w:r>
                <w:r>
                  <w:rPr>
                    <w:sz w:val="16"/>
                  </w:rPr>
                  <w:instrText> PAGE </w:instrText>
                </w:r>
                <w:r>
                  <w:rPr/>
                  <w:fldChar w:fldCharType="separate"/>
                </w:r>
                <w:r>
                  <w:rPr/>
                  <w:t>3</w:t>
                </w:r>
                <w:r>
                  <w:rPr/>
                  <w:fldChar w:fldCharType="end"/>
                </w:r>
                <w:r>
                  <w:rPr>
                    <w:sz w:val="16"/>
                  </w:rPr>
                  <w:t>/4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453127pt;margin-top:13.757813pt;width:42.05pt;height:10.95pt;mso-position-horizontal-relative:page;mso-position-vertical-relative:page;z-index:-16090112" type="#_x0000_t202" filled="false" stroked="false">
          <v:textbox inset="0,0,0,0">
            <w:txbxContent>
              <w:p>
                <w:pPr>
                  <w:spacing w:before="14"/>
                  <w:ind w:left="20" w:right="0" w:firstLine="0"/>
                  <w:jc w:val="left"/>
                  <w:rPr>
                    <w:sz w:val="16"/>
                  </w:rPr>
                </w:pPr>
                <w:r>
                  <w:rPr>
                    <w:sz w:val="16"/>
                  </w:rPr>
                  <w:t>28/12/2020</w:t>
                </w:r>
              </w:p>
            </w:txbxContent>
          </v:textbox>
          <w10:wrap type="none"/>
        </v:shape>
      </w:pict>
    </w:r>
    <w:r>
      <w:rPr/>
      <w:pict>
        <v:shape style="position:absolute;margin-left:274.546906pt;margin-top:13.757813pt;width:133.2pt;height:10.95pt;mso-position-horizontal-relative:page;mso-position-vertical-relative:page;z-index:-16089600" type="#_x0000_t202" filled="false" stroked="false">
          <v:textbox inset="0,0,0,0">
            <w:txbxContent>
              <w:p>
                <w:pPr>
                  <w:spacing w:before="14"/>
                  <w:ind w:left="20" w:right="0" w:firstLine="0"/>
                  <w:jc w:val="left"/>
                  <w:rPr>
                    <w:sz w:val="16"/>
                  </w:rPr>
                </w:pPr>
                <w:r>
                  <w:rPr>
                    <w:sz w:val="16"/>
                  </w:rPr>
                  <w:t>DOF - Diario Oficial de la Federación</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18"/>
      <w:szCs w:val="18"/>
      <w:lang w:val="es-ES" w:eastAsia="en-US" w:bidi="ar-SA"/>
    </w:rPr>
  </w:style>
  <w:style w:styleId="Heading1" w:type="paragraph">
    <w:name w:val="Heading 1"/>
    <w:basedOn w:val="Normal"/>
    <w:uiPriority w:val="1"/>
    <w:qFormat/>
    <w:pPr>
      <w:ind w:left="1024" w:right="1032"/>
      <w:jc w:val="center"/>
      <w:outlineLvl w:val="1"/>
    </w:pPr>
    <w:rPr>
      <w:rFonts w:ascii="Arial" w:hAnsi="Arial" w:eastAsia="Arial" w:cs="Arial"/>
      <w:b/>
      <w:bCs/>
      <w:sz w:val="18"/>
      <w:szCs w:val="18"/>
      <w:lang w:val="es-ES" w:eastAsia="en-US" w:bidi="ar-SA"/>
    </w:rPr>
  </w:style>
  <w:style w:styleId="Title" w:type="paragraph">
    <w:name w:val="Title"/>
    <w:basedOn w:val="Normal"/>
    <w:uiPriority w:val="1"/>
    <w:qFormat/>
    <w:pPr>
      <w:spacing w:before="98"/>
      <w:ind w:left="112"/>
    </w:pPr>
    <w:rPr>
      <w:rFonts w:ascii="Arial" w:hAnsi="Arial" w:eastAsia="Arial" w:cs="Arial"/>
      <w:b/>
      <w:bCs/>
      <w:sz w:val="19"/>
      <w:szCs w:val="19"/>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spacing w:before="41"/>
      <w:ind w:left="83"/>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2020-12-28T08:45:43Z</dcterms:created>
  <dcterms:modified xsi:type="dcterms:W3CDTF">2020-12-28T08:45:43Z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Mozilla/5.0 (Windows NT 10.0; Win64; x64) AppleWebKit/537.36 (KHTML, like Gecko) Chrome/87.0.4280.88 Safari/537.36</vt:lpwstr>
  </property>
  <property fmtid="{D5CDD505-2E9C-101B-9397-08002B2CF9AE}" pid="4" name="LastSaved">
    <vt:filetime>2020-12-28T00:00:00Z</vt:filetime>
  </property>
</Properties>
</file>